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6202"/>
      </w:tblGrid>
      <w:tr>
        <w:trPr/>
        <w:tc>
          <w:tcPr>
            <w:tcW w:w="336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6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ind w:left="46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инженер </w:t>
            </w:r>
            <w:bookmarkStart w:id="0" w:name="__DdeLink__374_1752505949"/>
            <w:bookmarkEnd w:id="0"/>
            <w:r>
              <w:rPr>
                <w:rFonts w:ascii="Times New Roman" w:hAnsi="Times New Roman"/>
                <w:sz w:val="28"/>
                <w:szCs w:val="28"/>
              </w:rPr>
              <w:t>Информтехцентра</w:t>
            </w:r>
          </w:p>
          <w:p>
            <w:pPr>
              <w:pStyle w:val="Normal"/>
              <w:spacing w:lineRule="auto" w:line="240" w:before="0" w:after="0"/>
              <w:ind w:left="46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ind w:left="46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____________В.В. Дегула</w:t>
            </w:r>
          </w:p>
          <w:p>
            <w:pPr>
              <w:pStyle w:val="Normal"/>
              <w:spacing w:lineRule="auto" w:line="240" w:before="0" w:after="0"/>
              <w:ind w:left="46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 _______ 2018 г.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ТЕХНИЧЕСКОЕ  ЗАДАНИЕ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оказание услуг по изготовлению технических планов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объекты недвижимого имущества, расположенные по адресу: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Нижегородская область, г. Нижний Новгород, Советский р-н,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Генкиной, д.47А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Наименование услуг: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изготовление технических планов на объекты недвижимого имущества (далее - Объекты).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Заказчик: Информационно-технический центр – филиал Федерального бюджетного учреждения «Администрация Волжского бассейна внутренних водных путей» (далее – Информтехцентр).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и задачи: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и получение технического плана на здание с целью внесения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изменений   в Единый государственный реестр недвижимости в отношении здания гаража и мастерской (пп.1 Раздела 4 настоящего технического задания).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 получение технического плана на помещения с целью постановки их на государственный кадастровый учет и государственной   регистрации права собственности Российской Федерации и права оперативного управления  на помещения в здании гаража и мастерской (пп. 2 Раздела 4 настоящего технического задания).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Объекты :</w:t>
      </w:r>
    </w:p>
    <w:tbl>
      <w:tblPr>
        <w:tblW w:w="935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1"/>
        <w:gridCol w:w="1965"/>
        <w:gridCol w:w="4229"/>
        <w:gridCol w:w="2410"/>
      </w:tblGrid>
      <w:tr>
        <w:trPr>
          <w:trHeight w:val="780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>
        <w:trPr>
          <w:trHeight w:val="957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гаража и мастерской</w:t>
            </w:r>
          </w:p>
        </w:tc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Нижегородская область, г. Нижний Новгород, Советский р-н, ул. Генкиной , д.47 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52:18:0070068:103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 в здании гаража и мастерской</w:t>
            </w:r>
          </w:p>
        </w:tc>
        <w:tc>
          <w:tcPr>
            <w:tcW w:w="4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Нижегородская область, г. Нижний Новгород, Советский район, ул. Генкиной, д.47 А,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Помещения: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лит. Б, № комнат по плану: 1,2,3*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лит. Б1, № комнат по плану: 4,5 *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</w:tbl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Примечание: нумерация комнат указана согласно экспликации к поэтажному плану нежилого здания технического паспорта, изготовленного в 2010 г. ГП «Нижтехинвентаризация» (копия инвентаризационного плана и экспликации прилагаются).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keepNext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Исполнитель в рамках оказания услуг в соответствии с настоящим техническим заданием своими силами осуществляет 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зготовление технических планов на Объекты в соответствии с требованиями действующего законодательства Российской Федерации, сбор информации и документов, необходимых для выполнения настоящего задания, предварительное натурное обследование Объектов с выполнением кадастровых работ.</w:t>
      </w:r>
    </w:p>
    <w:p>
      <w:pPr>
        <w:pStyle w:val="ListParagraph"/>
        <w:spacing w:lineRule="auto" w:line="240" w:before="0" w:after="0"/>
        <w:ind w:left="45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keepNext/>
        <w:numPr>
          <w:ilvl w:val="0"/>
          <w:numId w:val="4"/>
        </w:numPr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 предоставлении услуг Исполнитель обязан:</w:t>
      </w:r>
    </w:p>
    <w:p>
      <w:pPr>
        <w:pStyle w:val="Normal"/>
        <w:keepNext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Обеспечить безопасные условия труда представителей Исполнителя, сохранность оборудования, сооружений, устройств и иного имущества</w:t>
      </w:r>
      <w:bookmarkStart w:id="1" w:name="_GoBack"/>
      <w:bookmarkEnd w:id="1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Заказчика.</w:t>
      </w:r>
    </w:p>
    <w:p>
      <w:pPr>
        <w:pStyle w:val="Normal"/>
        <w:keepNext/>
        <w:tabs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порядку выполнения и результатам оказываемых услуг:</w:t>
      </w:r>
    </w:p>
    <w:p>
      <w:pPr>
        <w:pStyle w:val="ListParagraph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должны оказываться в полном соответствии с требованиями настоящего технического задания и отвечать требованиям, установленным нормативными правовыми актами, действующими или вступившими в силу на момент выполнения задания, включая, но, не ограничиваясь, следующими: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кодекс Российской Федерации.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13.07.2015 N 218-ФЗ «О государственной регистрации недвижимости».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24.07.2007 N 221-ФЗ «О кадастровой деятельности».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18.06.2001 N 78-ФЗ «О землеустройстве».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22.07.2008 N 141-ФЗ «О внесении изменений в отдельные законодательные акты Российской Федерации в части совершенствования земельных отношений».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26.06.2008 N 102-ФЗ «Об обеспечении единства измерений».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Минэкономразвития России от 18.12.2015 N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сведений». </w:t>
      </w:r>
    </w:p>
    <w:p>
      <w:pPr>
        <w:pStyle w:val="Normal"/>
        <w:spacing w:lineRule="auto" w:line="240" w:before="0" w:after="0"/>
        <w:ind w:firstLine="34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Общие требования:</w:t>
      </w:r>
    </w:p>
    <w:p>
      <w:pPr>
        <w:pStyle w:val="Normal"/>
        <w:spacing w:lineRule="auto" w:line="240" w:before="0" w:after="120"/>
        <w:ind w:firstLine="35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Требования, связанные с недостатками, выявленными при исполнении контракта, могут быть предъявлены Исполнителю со стороны Заказчика при условии, если они были обнаружены в течение 12 (Двенадцати) месяцев с момента приемки оказанных услуг. Срок устранения Исполнителем выявленных недостатков не должен превышать 5 (Пять) календарных дней.</w:t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120"/>
        <w:ind w:firstLine="35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Требования к Исполнителю: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 обязан соответствовать требованиям (ст. 29-33) </w:t>
      </w:r>
      <w:r>
        <w:rPr>
          <w:rFonts w:ascii="Times New Roman" w:hAnsi="Times New Roman"/>
          <w:bCs/>
          <w:sz w:val="28"/>
          <w:szCs w:val="28"/>
        </w:rPr>
        <w:t>Федерального закона от 24.07.2007 №221-ФЗ «О государственном кадастре недвижимости», в том числе: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right="148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юридических лиц – необходимо наличие в штате не менее двух кадастровых инженеров, которые вправе осуществлять кадастровую деятельность и являются членами саморегулируемой организации кадастровых инженеров;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right="148" w:hanging="792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для индивидуальных предпринимателей – необходимо наличие членства в саморегулируемой организации кадастровых инженеров.  </w:t>
      </w:r>
    </w:p>
    <w:p>
      <w:pPr>
        <w:pStyle w:val="Normal"/>
        <w:spacing w:lineRule="auto" w:line="240" w:before="0" w:after="0"/>
        <w:ind w:left="-340" w:firstLine="3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оказания услуг Исполнитель передает Заказчику следующие документы: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Технические планы Объектов на бумажном носителе и на диске </w:t>
      </w:r>
      <w:r>
        <w:rPr>
          <w:rFonts w:ascii="Times New Roman" w:hAnsi="Times New Roman"/>
          <w:bCs/>
          <w:sz w:val="28"/>
          <w:szCs w:val="28"/>
        </w:rPr>
        <w:t>в форме электронного документа, заверенного  усиленной квалифицированной электронной подписью кадастрового инженера, подготовившего такой план, в формате, установленном уполномоченным органом по ведению Единого государственного реестра недвижимости.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кт о приемке оказанных услуг в двух экземплярах с приложением счета и счета-фактуры (если применяется НДС).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передаются Заказчику по акту приема-передачи. Состав и оформление вышеуказанных документов должен соответствовать требованиям действующего законодательства.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работ: 25 (Двадцать пять) дней с момента подписания договора.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Приложения: 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по объектам  на 1 листе в 1 экземпляре.</w:t>
      </w:r>
    </w:p>
    <w:p>
      <w:pPr>
        <w:pStyle w:val="ListParagraph"/>
        <w:numPr>
          <w:ilvl w:val="1"/>
          <w:numId w:val="4"/>
        </w:numPr>
        <w:spacing w:lineRule="auto" w:line="240" w:before="0" w:after="0"/>
        <w:ind w:left="792" w:hanging="7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поэтажного плана и экспликации из техпаспорта на здание, изготовленного в 2010 г.,  на 2 листах в  экземпляре.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4"/>
        <w:tblW w:w="935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5"/>
        <w:gridCol w:w="2410"/>
      </w:tblGrid>
      <w:tr>
        <w:trPr>
          <w:trHeight w:val="1029" w:hRule="atLeast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имущественных хозяйственных отношений и землеустроительной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 Квитко</w:t>
            </w:r>
          </w:p>
        </w:tc>
      </w:tr>
    </w:tbl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/>
      </w:r>
      <w:r>
        <w:br w:type="page"/>
      </w:r>
    </w:p>
    <w:p>
      <w:pPr>
        <w:pStyle w:val="Normal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1</w:t>
      </w:r>
      <w:r>
        <w:rPr>
          <w:rFonts w:ascii="Times New Roman" w:hAnsi="Times New Roman"/>
          <w:sz w:val="18"/>
          <w:szCs w:val="18"/>
          <w:lang w:val="en-US"/>
        </w:rPr>
        <w:t>1/1</w:t>
      </w:r>
      <w:r>
        <w:rPr>
          <w:rFonts w:ascii="Times New Roman" w:hAnsi="Times New Roman"/>
          <w:sz w:val="18"/>
          <w:szCs w:val="18"/>
        </w:rPr>
        <w:t xml:space="preserve"> к техническому заданию</w:t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Здание является федеральной собственностью. Право собственности на здание не зарегистрировано. В соответствии с </w:t>
      </w:r>
      <w:r>
        <w:rPr>
          <w:rFonts w:ascii="Times New Roman" w:hAnsi="Times New Roman"/>
          <w:sz w:val="28"/>
          <w:szCs w:val="28"/>
        </w:rPr>
        <w:t>распоряжением Федерального агентства по управлению федеральным имуществом от 03.10.2005 г. №2200-р «Здание гаража» площадью 487,0 кв.м и «Здание мастерской» площадью  18,4 кв.м переданы в оперативное управление  Федерального бюджетного учреждения «Администрация Волжского бассейна внутренних водных путей» (далее – ФБУ «Администрация Волжского бассейна»).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 кадастровым паспортом от 12.12.2016 г., площадь здания гаража и мастерской  с кадастровым номером 52:18:0070068:103 составляет 627,7 кв.м, что не соответствует фактической. По результатам технической инвентаризации, выполненной в 2010 году, установлено, что в результате сноса части здания произошло уменьшение общей площади здания гаража и мастерской на 140,6 кв.м, и  площадь здания стала составлять 487,1 кв.м. Снос части здания согласован письмом Комитета по управлению государственным имуществом Нижегородской области 27.03.2000 №01-14-1351. На месте снесенной части здания были построены подземные гаражи с присвоенным адресом: г. Нижний Новгород, ул. Генкиной, д. 43а. Данные подземные гаражи были введены в эксплуатацию в 2001 году, что свидетельствует о том, что снос был произведен в период с 2000 по 2001 год до передачи объектов в оперативное управление  ФБУ «Администрация Волжского бассейна».  Какие-либо документы,  подтверждающие снос части здания, ФБУ «Администрация Волжского бассейна» не передавались. 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изменения были внесены записью об изменениях сведений об объекте учета и согласованы с ТУ Росимущества в Нижегородской области, однако не внесены в Единый государственный реестр недвижимости.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Территориального управления Федерального агентства по управлению федеральным имуществом по Нижегородской области от 25.11.2004 №877  часть здания - помещение П1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(комната №6 на плане*) площадью 122,2 кв.м с кадастровым номером  52:18:0070068:281 закреплена на праве оперативного управления за КРУ НО а в соответствии с распоряжением  Территориального управления Федерального агентства по управлению государственным имуществом в Нижегородской области от 29.03.2017 г. №127,  передана и в настоящее время находится в оперативном управлении Федерального казенного учреждения «Центр по обеспечению деятельности казначейства России».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Другая часть здания, площадью 365,0 кв.м, которая включает: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лит. Б, № комнат по плану: 1,2,3;  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лит. Б1, № комнат по плану: 4,5.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находится в оперативном управлении  ФБУ</w:t>
      </w:r>
      <w:r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sz w:val="28"/>
          <w:szCs w:val="28"/>
        </w:rPr>
        <w:t xml:space="preserve">Администрация Волжского бассейна», </w:t>
      </w:r>
      <w:r>
        <w:rPr>
          <w:rFonts w:ascii="Times New Roman" w:hAnsi="Times New Roman"/>
          <w:bCs/>
          <w:sz w:val="28"/>
          <w:szCs w:val="28"/>
        </w:rPr>
        <w:t xml:space="preserve"> фактически используется его филиалом – Информтехцентром.  Право оперативного управления на данную часть здания не зарегистрировано.</w:t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/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11.2 к техническому заданию</w:t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поэтажного плана</w:t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19050" distR="9525">
            <wp:extent cx="5267325" cy="7443470"/>
            <wp:effectExtent l="0" t="0" r="0" b="0"/>
            <wp:docPr id="1" name="Рисунок 1" descr="C:\Documents and Settings\111\Рабочий стол\письма\запрос по генкиной 47А\Page_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111\Рабочий стол\письма\запрос по генкиной 47А\Page_0001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00" w:leader="none"/>
        </w:tabs>
        <w:spacing w:lineRule="auto" w:line="240" w:before="0" w:after="0"/>
        <w:jc w:val="center"/>
        <w:rPr/>
      </w:pPr>
      <w:r>
        <w:rPr/>
        <w:drawing>
          <wp:inline distT="0" distB="0" distL="19050" distR="3175">
            <wp:extent cx="5940425" cy="8394700"/>
            <wp:effectExtent l="0" t="0" r="0" b="0"/>
            <wp:docPr id="2" name="Рисунок 2" descr="C:\Documents and Settings\111\Рабочий стол\письма\запрос по генкиной 47А\Page_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111\Рабочий стол\письма\запрос по генкиной 47А\Page_0001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"/>
      <w:type w:val="nextPage"/>
      <w:pgSz w:w="11906" w:h="16838"/>
      <w:pgMar w:left="1701" w:right="850" w:header="0" w:top="709" w:footer="405" w:bottom="568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t xml:space="preserve">стр. </w:t>
    </w: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  <w:r>
      <w:rPr/>
      <w:t xml:space="preserve"> из </w:t>
    </w:r>
    <w:r>
      <w:rPr/>
      <w:fldChar w:fldCharType="begin"/>
    </w:r>
    <w:r>
      <w:instrText> NUMPAGES </w:instrText>
    </w:r>
    <w:r>
      <w:fldChar w:fldCharType="separate"/>
    </w:r>
    <w:r>
      <w:t>6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596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65966"/>
    <w:rPr>
      <w:rFonts w:ascii="Tahoma" w:hAnsi="Tahoma" w:eastAsia="Calibri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ec5679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ec5679"/>
    <w:rPr>
      <w:rFonts w:ascii="Calibri" w:hAnsi="Calibri" w:eastAsia="Calibri" w:cs="Times New Roman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65966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659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ec567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ec5679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6596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LibreOffice/5.1.6.2$Linux_X86_64 LibreOffice_project/10m0$Build-2</Application>
  <Pages>6</Pages>
  <Words>1045</Words>
  <Characters>7280</Characters>
  <CharactersWithSpaces>8272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2018-09-21T05:33:00Z</dcterms:created>
  <dc:creator>Квитко Ольга</dc:creator>
  <dc:description/>
  <dc:language>ru-RU</dc:language>
  <cp:lastModifiedBy/>
  <cp:lastPrinted>2018-09-21T10:10:00Z</cp:lastPrinted>
  <dcterms:modified xsi:type="dcterms:W3CDTF">2018-10-01T17:57:09Z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