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  <w:t>Технические характеристики дизайнерской виниловой гетерогенной плитки</w:t>
      </w:r>
    </w:p>
    <w:p>
      <w:pPr>
        <w:pStyle w:val="Normal"/>
        <w:widowControl/>
        <w:ind w:left="0" w:right="0" w:hanging="0"/>
        <w:jc w:val="center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36"/>
          <w:szCs w:val="36"/>
        </w:rPr>
      </w:r>
    </w:p>
    <w:p>
      <w:pPr>
        <w:pStyle w:val="Normal"/>
        <w:widowControl/>
        <w:ind w:left="0" w:right="0" w:hanging="0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3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Дизайнерская виниловая гетерогенная (ПВХ) плитка. Под дерево. Гетерогенное ПВХ покрытие. Рабочий (защитный) слой износа – чистый ПВХ. Печатный слой – рисунок. Холстовой слой – вспененный ПВХ. Базовый слой – стекловолокно пропитанное ПВХ. Изнаночный слой – механически вспененный ПВХ. Планка 94х14см. Общая толщина 2,2 мм, толщина защитного слоя 0,45 мм.</w:t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widowControl/>
        <w:ind w:left="0" w:right="0" w:hanging="0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ab/>
        <w:t>Дизайнерская виниловая гетерогенная (ПВХ) плитка. . Под камень. Гетерогенное ПВХ покрытие. Рабочий (защитный) слой износа – чистый ПВХ. Печатный слой – рисунок. Холстовой слой – вспененный ПВХ. Базовый слой – стекловолокно пропитанное ПВХ. Изнаночный слой – механически вспененный ПВХ. Плитка 50х50см. Общая толщина 2,5 мм, толщина защитного слоя 0,7 мм.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;Arial" w:hAnsi="Liberation Sans;Arial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1</Pages>
  <Words>95</Words>
  <Characters>674</Characters>
  <CharactersWithSpaces>778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2018-12-04T17:17:50Z</dcterms:created>
  <dc:creator/>
  <dc:description/>
  <dc:language>ru-RU</dc:language>
  <cp:lastModifiedBy/>
  <dcterms:modified xsi:type="dcterms:W3CDTF">2018-12-04T17:18:25Z</dcterms:modified>
  <cp:revision>2</cp:revision>
  <dc:subject/>
  <dc:title/>
</cp:coreProperties>
</file>