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BE" w:rsidRDefault="009208BE" w:rsidP="009208BE">
      <w:pPr>
        <w:shd w:val="clear" w:color="auto" w:fill="FFFFFF"/>
        <w:spacing w:before="278"/>
        <w:ind w:left="557"/>
      </w:pPr>
      <w:r>
        <w:rPr>
          <w:rFonts w:eastAsia="Times New Roman"/>
          <w:b/>
          <w:bCs/>
          <w:color w:val="000000"/>
          <w:spacing w:val="-2"/>
          <w:sz w:val="22"/>
          <w:szCs w:val="22"/>
        </w:rPr>
        <w:t>ТЕХНИЧЕСКАЯ СПЕЦИФИКАЦИЯ</w:t>
      </w:r>
    </w:p>
    <w:p w:rsidR="009208BE" w:rsidRDefault="009208BE" w:rsidP="009208BE">
      <w:pPr>
        <w:shd w:val="clear" w:color="auto" w:fill="FFFFFF"/>
        <w:spacing w:before="43" w:after="326"/>
        <w:ind w:left="1142"/>
      </w:pPr>
      <w:r>
        <w:rPr>
          <w:rFonts w:eastAsia="Times New Roman"/>
          <w:b/>
          <w:bCs/>
          <w:color w:val="000000"/>
          <w:spacing w:val="-1"/>
          <w:sz w:val="22"/>
          <w:szCs w:val="22"/>
        </w:rPr>
        <w:t>по лоту «Масло моторное»</w:t>
      </w:r>
    </w:p>
    <w:p w:rsidR="009208BE" w:rsidRDefault="009208BE" w:rsidP="009208BE">
      <w:pPr>
        <w:shd w:val="clear" w:color="auto" w:fill="FFFFFF"/>
        <w:spacing w:before="43" w:after="326"/>
        <w:ind w:left="1142"/>
        <w:sectPr w:rsidR="009208BE" w:rsidSect="009208BE">
          <w:pgSz w:w="11928" w:h="16728"/>
          <w:pgMar w:top="1032" w:right="811" w:bottom="1373" w:left="3912" w:header="720" w:footer="720" w:gutter="0"/>
          <w:cols w:space="60"/>
          <w:noEndnote/>
        </w:sectPr>
      </w:pPr>
    </w:p>
    <w:p w:rsidR="009208BE" w:rsidRDefault="009208BE" w:rsidP="009208BE">
      <w:pPr>
        <w:shd w:val="clear" w:color="auto" w:fill="FFFFFF"/>
        <w:spacing w:before="509"/>
      </w:pPr>
    </w:p>
    <w:p w:rsidR="009208BE" w:rsidRDefault="009208BE" w:rsidP="009208BE">
      <w:pPr>
        <w:shd w:val="clear" w:color="auto" w:fill="FFFFFF"/>
        <w:spacing w:before="509"/>
        <w:ind w:left="48"/>
      </w:pPr>
      <w:r>
        <w:br w:type="column"/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Наименование</w:t>
      </w:r>
    </w:p>
    <w:p w:rsidR="009208BE" w:rsidRDefault="009208BE" w:rsidP="009208BE">
      <w:pPr>
        <w:shd w:val="clear" w:color="auto" w:fill="FFFFFF"/>
        <w:spacing w:before="2074" w:line="293" w:lineRule="exact"/>
        <w:ind w:left="480" w:hanging="480"/>
      </w:pPr>
      <w:r>
        <w:rPr>
          <w:rFonts w:eastAsia="Times New Roman"/>
          <w:color w:val="000000"/>
          <w:spacing w:val="-3"/>
          <w:sz w:val="22"/>
          <w:szCs w:val="22"/>
        </w:rPr>
        <w:t xml:space="preserve">Масло моторное </w:t>
      </w:r>
      <w:r w:rsidRPr="00DA4919">
        <w:rPr>
          <w:rFonts w:eastAsia="Times New Roman"/>
          <w:color w:val="000000"/>
          <w:sz w:val="22"/>
          <w:szCs w:val="22"/>
        </w:rPr>
        <w:t>15</w:t>
      </w:r>
      <w:r>
        <w:rPr>
          <w:rFonts w:eastAsia="Times New Roman"/>
          <w:color w:val="000000"/>
          <w:sz w:val="22"/>
          <w:szCs w:val="22"/>
          <w:lang w:val="en-US"/>
        </w:rPr>
        <w:t>W</w:t>
      </w:r>
      <w:r w:rsidRPr="00DA4919">
        <w:rPr>
          <w:rFonts w:eastAsia="Times New Roman"/>
          <w:color w:val="000000"/>
          <w:sz w:val="22"/>
          <w:szCs w:val="22"/>
        </w:rPr>
        <w:t>40</w:t>
      </w:r>
    </w:p>
    <w:p w:rsidR="009208BE" w:rsidRDefault="009208BE" w:rsidP="009208BE">
      <w:pPr>
        <w:shd w:val="clear" w:color="auto" w:fill="FFFFFF"/>
        <w:spacing w:before="504"/>
        <w:ind w:left="67"/>
      </w:pPr>
      <w:r>
        <w:br w:type="column"/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>Техническая характеристика</w:t>
      </w:r>
    </w:p>
    <w:p w:rsidR="009208BE" w:rsidRDefault="009208BE" w:rsidP="009208BE">
      <w:pPr>
        <w:shd w:val="clear" w:color="auto" w:fill="FFFFFF"/>
        <w:spacing w:before="509" w:line="250" w:lineRule="exact"/>
      </w:pPr>
      <w:r>
        <w:rPr>
          <w:rFonts w:eastAsia="Times New Roman"/>
          <w:color w:val="000000"/>
          <w:spacing w:val="-1"/>
          <w:sz w:val="22"/>
          <w:szCs w:val="22"/>
        </w:rPr>
        <w:t xml:space="preserve">для дизельных двигателей, </w:t>
      </w:r>
      <w:r>
        <w:rPr>
          <w:rFonts w:eastAsia="Times New Roman"/>
          <w:color w:val="000000"/>
          <w:sz w:val="22"/>
          <w:szCs w:val="22"/>
        </w:rPr>
        <w:t xml:space="preserve">минеральное, всесезонное.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Кинематическая вязкость при </w:t>
      </w:r>
      <w:r>
        <w:rPr>
          <w:rFonts w:eastAsia="Times New Roman"/>
          <w:color w:val="000000"/>
          <w:sz w:val="22"/>
          <w:szCs w:val="22"/>
        </w:rPr>
        <w:t xml:space="preserve">40°С/100°С: 100-110/не менее </w:t>
      </w:r>
      <w:r>
        <w:rPr>
          <w:rFonts w:eastAsia="Times New Roman"/>
          <w:color w:val="000000"/>
          <w:spacing w:val="-3"/>
          <w:sz w:val="22"/>
          <w:szCs w:val="22"/>
        </w:rPr>
        <w:t>13,5 мм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>2</w:t>
      </w:r>
      <w:r>
        <w:rPr>
          <w:rFonts w:eastAsia="Times New Roman"/>
          <w:color w:val="000000"/>
          <w:spacing w:val="-3"/>
          <w:sz w:val="22"/>
          <w:szCs w:val="22"/>
        </w:rPr>
        <w:t>/с; Индекс вязкости: не менее ПО; Плотность при 15°С: не более 888 кг/м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>3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; Температура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застывания: не выше -33°С; Температура вспышки в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открытом тигле: не ниже 233°С; Щелочное число не более 11,50 </w:t>
      </w:r>
      <w:r>
        <w:rPr>
          <w:rFonts w:eastAsia="Times New Roman"/>
          <w:color w:val="000000"/>
          <w:sz w:val="22"/>
          <w:szCs w:val="22"/>
        </w:rPr>
        <w:t xml:space="preserve">мг КОН/г; Зольность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сульфатная не более 1,59%.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Тара: металлическая бочка </w:t>
      </w:r>
      <w:r>
        <w:rPr>
          <w:rFonts w:eastAsia="Times New Roman"/>
          <w:color w:val="000000"/>
          <w:spacing w:val="-1"/>
          <w:sz w:val="22"/>
          <w:szCs w:val="22"/>
          <w:u w:val="single"/>
        </w:rPr>
        <w:t>вместимостью 200-220 литров,</w:t>
      </w:r>
    </w:p>
    <w:p w:rsidR="009208BE" w:rsidRDefault="009208BE" w:rsidP="009208BE">
      <w:pPr>
        <w:shd w:val="clear" w:color="auto" w:fill="FFFFFF"/>
        <w:spacing w:before="389" w:line="245" w:lineRule="exact"/>
        <w:ind w:left="82"/>
      </w:pPr>
      <w:r>
        <w:br w:type="column"/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Ед. 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изм.</w:t>
      </w:r>
    </w:p>
    <w:p w:rsidR="009208BE" w:rsidRDefault="009208BE" w:rsidP="009208BE">
      <w:pPr>
        <w:shd w:val="clear" w:color="auto" w:fill="FFFFFF"/>
        <w:spacing w:before="2026" w:line="250" w:lineRule="exact"/>
      </w:pPr>
      <w:r>
        <w:rPr>
          <w:rFonts w:eastAsia="Times New Roman"/>
          <w:color w:val="000000"/>
          <w:spacing w:val="-3"/>
          <w:sz w:val="22"/>
          <w:szCs w:val="22"/>
        </w:rPr>
        <w:t xml:space="preserve">Кило </w:t>
      </w:r>
      <w:r>
        <w:rPr>
          <w:rFonts w:eastAsia="Times New Roman"/>
          <w:color w:val="000000"/>
          <w:spacing w:val="-7"/>
          <w:sz w:val="22"/>
          <w:szCs w:val="22"/>
        </w:rPr>
        <w:t>грамм</w:t>
      </w:r>
    </w:p>
    <w:p w:rsidR="009208BE" w:rsidRDefault="009208BE" w:rsidP="009208BE">
      <w:pPr>
        <w:shd w:val="clear" w:color="auto" w:fill="FFFFFF"/>
        <w:spacing w:before="384" w:line="250" w:lineRule="exact"/>
        <w:ind w:left="178" w:hanging="130"/>
      </w:pPr>
      <w:r>
        <w:br w:type="column"/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Кол-</w:t>
      </w:r>
      <w:r>
        <w:rPr>
          <w:rFonts w:eastAsia="Times New Roman"/>
          <w:b/>
          <w:bCs/>
          <w:color w:val="000000"/>
          <w:spacing w:val="-9"/>
          <w:sz w:val="22"/>
          <w:szCs w:val="22"/>
        </w:rPr>
        <w:t>во</w:t>
      </w:r>
    </w:p>
    <w:p w:rsidR="009208BE" w:rsidRDefault="009208BE" w:rsidP="009208BE">
      <w:pPr>
        <w:shd w:val="clear" w:color="auto" w:fill="FFFFFF"/>
        <w:spacing w:before="2150"/>
      </w:pPr>
      <w:r>
        <w:rPr>
          <w:color w:val="000000"/>
          <w:spacing w:val="-8"/>
          <w:sz w:val="22"/>
          <w:szCs w:val="22"/>
        </w:rPr>
        <w:t>11 000</w:t>
      </w:r>
    </w:p>
    <w:p w:rsidR="009208BE" w:rsidRDefault="009208BE" w:rsidP="009208BE">
      <w:pPr>
        <w:shd w:val="clear" w:color="auto" w:fill="FFFFFF"/>
        <w:spacing w:before="5" w:line="250" w:lineRule="exact"/>
        <w:ind w:left="86" w:firstLine="384"/>
      </w:pPr>
      <w:r>
        <w:br w:type="column"/>
      </w:r>
    </w:p>
    <w:p w:rsidR="009208BE" w:rsidRDefault="009208BE" w:rsidP="009208BE">
      <w:pPr>
        <w:shd w:val="clear" w:color="auto" w:fill="FFFFFF"/>
        <w:spacing w:line="250" w:lineRule="exact"/>
        <w:ind w:right="14"/>
        <w:jc w:val="center"/>
        <w:sectPr w:rsidR="009208BE">
          <w:type w:val="continuous"/>
          <w:pgSz w:w="11928" w:h="16728"/>
          <w:pgMar w:top="1032" w:right="413" w:bottom="1373" w:left="1253" w:header="720" w:footer="720" w:gutter="0"/>
          <w:cols w:num="7" w:sep="1" w:space="720" w:equalWidth="0">
            <w:col w:w="720" w:space="115"/>
            <w:col w:w="1540" w:space="192"/>
            <w:col w:w="3009" w:space="226"/>
            <w:col w:w="720" w:space="0"/>
            <w:col w:w="720" w:space="0"/>
            <w:col w:w="1512" w:space="53"/>
            <w:col w:w="1512"/>
          </w:cols>
          <w:noEndnote/>
        </w:sectPr>
      </w:pPr>
    </w:p>
    <w:p w:rsidR="009208BE" w:rsidRDefault="009208BE" w:rsidP="009208BE">
      <w:pPr>
        <w:framePr w:h="2323" w:hSpace="38" w:wrap="notBeside" w:vAnchor="text" w:hAnchor="margin" w:x="3865" w:y="102"/>
        <w:rPr>
          <w:sz w:val="24"/>
          <w:szCs w:val="24"/>
        </w:rPr>
      </w:pPr>
    </w:p>
    <w:p w:rsidR="009208BE" w:rsidRDefault="009208BE" w:rsidP="009208BE">
      <w:pPr>
        <w:framePr w:h="254" w:hRule="exact" w:hSpace="38" w:wrap="notBeside" w:vAnchor="text" w:hAnchor="margin" w:x="6" w:y="1902"/>
        <w:shd w:val="clear" w:color="auto" w:fill="FFFFFF"/>
      </w:pPr>
    </w:p>
    <w:p w:rsidR="009208BE" w:rsidRDefault="009208BE" w:rsidP="009208BE">
      <w:pPr>
        <w:shd w:val="clear" w:color="auto" w:fill="FFFFFF"/>
        <w:spacing w:before="403"/>
        <w:ind w:left="5"/>
      </w:pPr>
    </w:p>
    <w:p w:rsidR="009208BE" w:rsidRDefault="009208BE" w:rsidP="009208BE">
      <w:pPr>
        <w:shd w:val="clear" w:color="auto" w:fill="FFFFFF"/>
        <w:spacing w:before="499"/>
      </w:pPr>
    </w:p>
    <w:p w:rsidR="009208BE" w:rsidRDefault="009208BE" w:rsidP="009208BE">
      <w:pPr>
        <w:shd w:val="clear" w:color="auto" w:fill="FFFFFF"/>
        <w:spacing w:line="749" w:lineRule="exact"/>
        <w:ind w:left="34"/>
        <w:sectPr w:rsidR="009208BE">
          <w:type w:val="continuous"/>
          <w:pgSz w:w="11928" w:h="16728"/>
          <w:pgMar w:top="1032" w:right="802" w:bottom="1373" w:left="2011" w:header="720" w:footer="720" w:gutter="0"/>
          <w:cols w:num="2" w:space="720" w:equalWidth="0">
            <w:col w:w="3000" w:space="4416"/>
            <w:col w:w="1699"/>
          </w:cols>
          <w:noEndnote/>
        </w:sectPr>
      </w:pPr>
      <w:r>
        <w:br w:type="column"/>
      </w:r>
    </w:p>
    <w:p w:rsidR="009208BE" w:rsidRDefault="009208BE" w:rsidP="009208BE">
      <w:pPr>
        <w:shd w:val="clear" w:color="auto" w:fill="FFFFFF"/>
        <w:spacing w:before="274"/>
        <w:ind w:left="3216"/>
      </w:pPr>
      <w:r>
        <w:rPr>
          <w:rFonts w:eastAsia="Times New Roman"/>
          <w:b/>
          <w:bCs/>
          <w:color w:val="000000"/>
          <w:spacing w:val="-2"/>
          <w:sz w:val="22"/>
          <w:szCs w:val="22"/>
        </w:rPr>
        <w:lastRenderedPageBreak/>
        <w:t>ТЕХНИЧЕСКАЯ СПЕЦИФИКАЦИЯ</w:t>
      </w:r>
    </w:p>
    <w:p w:rsidR="009208BE" w:rsidRDefault="009208BE" w:rsidP="009208BE">
      <w:pPr>
        <w:shd w:val="clear" w:color="auto" w:fill="FFFFFF"/>
        <w:spacing w:before="48" w:after="322"/>
        <w:ind w:left="3379"/>
      </w:pPr>
      <w:r>
        <w:rPr>
          <w:rFonts w:eastAsia="Times New Roman"/>
          <w:b/>
          <w:bCs/>
          <w:color w:val="000000"/>
          <w:sz w:val="22"/>
          <w:szCs w:val="22"/>
        </w:rPr>
        <w:t>по лоту «Масло трансмиссионное»</w:t>
      </w:r>
    </w:p>
    <w:p w:rsidR="009208BE" w:rsidRDefault="009208BE" w:rsidP="009208BE">
      <w:pPr>
        <w:shd w:val="clear" w:color="auto" w:fill="FFFFFF"/>
        <w:spacing w:before="48" w:after="322"/>
        <w:ind w:left="3379"/>
        <w:sectPr w:rsidR="009208BE">
          <w:pgSz w:w="11933" w:h="16718"/>
          <w:pgMar w:top="1008" w:right="389" w:bottom="466" w:left="1282" w:header="720" w:footer="720" w:gutter="0"/>
          <w:cols w:space="60"/>
          <w:noEndnote/>
        </w:sectPr>
      </w:pPr>
    </w:p>
    <w:p w:rsidR="009208BE" w:rsidRDefault="009208BE" w:rsidP="009208BE">
      <w:pPr>
        <w:shd w:val="clear" w:color="auto" w:fill="FFFFFF"/>
        <w:spacing w:before="394" w:line="245" w:lineRule="exact"/>
        <w:ind w:firstLine="110"/>
      </w:pPr>
    </w:p>
    <w:p w:rsidR="009208BE" w:rsidRDefault="009208BE" w:rsidP="009208BE">
      <w:pPr>
        <w:shd w:val="clear" w:color="auto" w:fill="FFFFFF"/>
        <w:spacing w:before="2534" w:line="250" w:lineRule="exact"/>
        <w:ind w:left="139" w:hanging="96"/>
      </w:pPr>
    </w:p>
    <w:p w:rsidR="009208BE" w:rsidRDefault="009208BE" w:rsidP="009208BE">
      <w:pPr>
        <w:shd w:val="clear" w:color="auto" w:fill="FFFFFF"/>
        <w:spacing w:before="509"/>
        <w:ind w:left="67"/>
      </w:pPr>
      <w:r>
        <w:br w:type="column"/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Наименование</w:t>
      </w:r>
    </w:p>
    <w:p w:rsidR="009208BE" w:rsidRDefault="009208BE" w:rsidP="009208BE">
      <w:pPr>
        <w:shd w:val="clear" w:color="auto" w:fill="FFFFFF"/>
        <w:spacing w:before="2592" w:line="288" w:lineRule="exact"/>
        <w:ind w:left="470" w:hanging="470"/>
      </w:pPr>
      <w:r>
        <w:rPr>
          <w:rFonts w:eastAsia="Times New Roman"/>
          <w:color w:val="000000"/>
          <w:spacing w:val="-3"/>
          <w:sz w:val="22"/>
          <w:szCs w:val="22"/>
        </w:rPr>
        <w:t xml:space="preserve">Масло </w:t>
      </w:r>
      <w:proofErr w:type="spellStart"/>
      <w:r>
        <w:rPr>
          <w:rFonts w:eastAsia="Times New Roman"/>
          <w:color w:val="000000"/>
          <w:spacing w:val="-3"/>
          <w:sz w:val="22"/>
          <w:szCs w:val="22"/>
        </w:rPr>
        <w:t>трансмис</w:t>
      </w:r>
      <w:proofErr w:type="spellEnd"/>
      <w:r>
        <w:rPr>
          <w:rFonts w:eastAsia="Times New Roman"/>
          <w:color w:val="000000"/>
          <w:spacing w:val="-3"/>
          <w:sz w:val="22"/>
          <w:szCs w:val="22"/>
        </w:rPr>
        <w:t xml:space="preserve">. </w:t>
      </w:r>
      <w:r w:rsidRPr="00DA4919">
        <w:rPr>
          <w:rFonts w:eastAsia="Times New Roman"/>
          <w:color w:val="000000"/>
          <w:sz w:val="22"/>
          <w:szCs w:val="22"/>
        </w:rPr>
        <w:t>75</w:t>
      </w:r>
      <w:r>
        <w:rPr>
          <w:rFonts w:eastAsia="Times New Roman"/>
          <w:color w:val="000000"/>
          <w:sz w:val="22"/>
          <w:szCs w:val="22"/>
          <w:lang w:val="en-US"/>
        </w:rPr>
        <w:t>W</w:t>
      </w:r>
      <w:r w:rsidRPr="00DA4919">
        <w:rPr>
          <w:rFonts w:eastAsia="Times New Roman"/>
          <w:color w:val="000000"/>
          <w:sz w:val="22"/>
          <w:szCs w:val="22"/>
        </w:rPr>
        <w:t>90</w:t>
      </w:r>
    </w:p>
    <w:p w:rsidR="009208BE" w:rsidRDefault="009208BE" w:rsidP="009208BE">
      <w:pPr>
        <w:shd w:val="clear" w:color="auto" w:fill="FFFFFF"/>
        <w:spacing w:before="389" w:line="250" w:lineRule="exact"/>
        <w:ind w:left="538" w:right="403" w:firstLine="163"/>
      </w:pPr>
      <w:r>
        <w:br w:type="column"/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Техническая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характеристика</w:t>
      </w:r>
    </w:p>
    <w:p w:rsidR="009208BE" w:rsidRDefault="009208BE" w:rsidP="009208BE">
      <w:pPr>
        <w:shd w:val="clear" w:color="auto" w:fill="FFFFFF"/>
        <w:spacing w:before="384"/>
        <w:ind w:left="14"/>
      </w:pPr>
      <w:r>
        <w:rPr>
          <w:rFonts w:eastAsia="Times New Roman"/>
          <w:color w:val="000000"/>
          <w:sz w:val="22"/>
          <w:szCs w:val="22"/>
        </w:rPr>
        <w:t>трансмиссионное, марка</w:t>
      </w:r>
    </w:p>
    <w:p w:rsidR="009208BE" w:rsidRDefault="009208BE" w:rsidP="009208BE">
      <w:pPr>
        <w:shd w:val="clear" w:color="auto" w:fill="FFFFFF"/>
        <w:spacing w:before="10" w:line="250" w:lineRule="exact"/>
        <w:ind w:left="24"/>
      </w:pPr>
      <w:r>
        <w:rPr>
          <w:rFonts w:eastAsia="Times New Roman"/>
          <w:color w:val="000000"/>
          <w:spacing w:val="-2"/>
          <w:sz w:val="22"/>
          <w:szCs w:val="22"/>
        </w:rPr>
        <w:t>ТМ-5-12.</w:t>
      </w:r>
    </w:p>
    <w:p w:rsidR="009208BE" w:rsidRDefault="009208BE" w:rsidP="009208BE">
      <w:pPr>
        <w:shd w:val="clear" w:color="auto" w:fill="FFFFFF"/>
        <w:spacing w:line="250" w:lineRule="exact"/>
        <w:ind w:left="19"/>
      </w:pPr>
      <w:r>
        <w:rPr>
          <w:rFonts w:eastAsia="Times New Roman"/>
          <w:color w:val="000000"/>
          <w:spacing w:val="-1"/>
          <w:sz w:val="22"/>
          <w:szCs w:val="22"/>
        </w:rPr>
        <w:t>Тяжелое индустриальное</w:t>
      </w:r>
    </w:p>
    <w:p w:rsidR="009208BE" w:rsidRDefault="009208BE" w:rsidP="009208BE">
      <w:pPr>
        <w:shd w:val="clear" w:color="auto" w:fill="FFFFFF"/>
        <w:spacing w:line="250" w:lineRule="exact"/>
        <w:ind w:left="24"/>
      </w:pPr>
      <w:r>
        <w:rPr>
          <w:rFonts w:eastAsia="Times New Roman"/>
          <w:color w:val="000000"/>
          <w:spacing w:val="-2"/>
          <w:sz w:val="22"/>
          <w:szCs w:val="22"/>
        </w:rPr>
        <w:t>масло с</w:t>
      </w:r>
    </w:p>
    <w:p w:rsidR="009208BE" w:rsidRDefault="009208BE" w:rsidP="009208BE">
      <w:pPr>
        <w:shd w:val="clear" w:color="auto" w:fill="FFFFFF"/>
        <w:spacing w:line="250" w:lineRule="exact"/>
        <w:ind w:left="29"/>
      </w:pPr>
      <w:r>
        <w:rPr>
          <w:rFonts w:eastAsia="Times New Roman"/>
          <w:color w:val="000000"/>
          <w:spacing w:val="-2"/>
          <w:sz w:val="22"/>
          <w:szCs w:val="22"/>
        </w:rPr>
        <w:t>высокоэффективными</w:t>
      </w:r>
    </w:p>
    <w:p w:rsidR="009208BE" w:rsidRDefault="009208BE" w:rsidP="009208BE">
      <w:pPr>
        <w:shd w:val="clear" w:color="auto" w:fill="FFFFFF"/>
        <w:spacing w:line="250" w:lineRule="exact"/>
        <w:ind w:left="19"/>
      </w:pPr>
      <w:r>
        <w:rPr>
          <w:rFonts w:eastAsia="Times New Roman"/>
          <w:color w:val="000000"/>
          <w:spacing w:val="-1"/>
          <w:sz w:val="22"/>
          <w:szCs w:val="22"/>
        </w:rPr>
        <w:t>противозадирными и</w:t>
      </w:r>
    </w:p>
    <w:p w:rsidR="009208BE" w:rsidRDefault="009208BE" w:rsidP="009208BE">
      <w:pPr>
        <w:shd w:val="clear" w:color="auto" w:fill="FFFFFF"/>
        <w:spacing w:line="250" w:lineRule="exact"/>
        <w:ind w:left="24"/>
      </w:pPr>
      <w:r>
        <w:rPr>
          <w:rFonts w:eastAsia="Times New Roman"/>
          <w:color w:val="000000"/>
          <w:spacing w:val="-1"/>
          <w:sz w:val="22"/>
          <w:szCs w:val="22"/>
        </w:rPr>
        <w:t>противоизносными</w:t>
      </w:r>
    </w:p>
    <w:p w:rsidR="009208BE" w:rsidRDefault="009208BE" w:rsidP="009208BE">
      <w:pPr>
        <w:shd w:val="clear" w:color="auto" w:fill="FFFFFF"/>
        <w:spacing w:line="250" w:lineRule="exact"/>
        <w:ind w:left="19"/>
      </w:pPr>
      <w:r>
        <w:rPr>
          <w:rFonts w:eastAsia="Times New Roman"/>
          <w:color w:val="000000"/>
          <w:spacing w:val="-2"/>
          <w:sz w:val="22"/>
          <w:szCs w:val="22"/>
        </w:rPr>
        <w:t>присадками.</w:t>
      </w:r>
    </w:p>
    <w:p w:rsidR="009208BE" w:rsidRDefault="009208BE" w:rsidP="009208BE">
      <w:pPr>
        <w:shd w:val="clear" w:color="auto" w:fill="FFFFFF"/>
        <w:spacing w:line="250" w:lineRule="exact"/>
        <w:ind w:left="14"/>
      </w:pPr>
      <w:r>
        <w:rPr>
          <w:rFonts w:eastAsia="Times New Roman"/>
          <w:color w:val="000000"/>
          <w:spacing w:val="-1"/>
          <w:sz w:val="22"/>
          <w:szCs w:val="22"/>
        </w:rPr>
        <w:t>Кинематическая вязкость</w:t>
      </w:r>
    </w:p>
    <w:p w:rsidR="009208BE" w:rsidRDefault="009208BE" w:rsidP="009208BE">
      <w:pPr>
        <w:shd w:val="clear" w:color="auto" w:fill="FFFFFF"/>
        <w:spacing w:line="250" w:lineRule="exact"/>
        <w:ind w:left="19"/>
      </w:pPr>
      <w:r>
        <w:rPr>
          <w:rFonts w:eastAsia="Times New Roman"/>
          <w:color w:val="000000"/>
          <w:sz w:val="22"/>
          <w:szCs w:val="22"/>
        </w:rPr>
        <w:t>при40°С/100°С:97-115/не</w:t>
      </w:r>
    </w:p>
    <w:p w:rsidR="009208BE" w:rsidRDefault="009208BE" w:rsidP="009208BE">
      <w:pPr>
        <w:shd w:val="clear" w:color="auto" w:fill="FFFFFF"/>
        <w:spacing w:line="250" w:lineRule="exact"/>
        <w:ind w:left="14"/>
      </w:pPr>
      <w:r>
        <w:rPr>
          <w:rFonts w:eastAsia="Times New Roman"/>
          <w:color w:val="000000"/>
          <w:spacing w:val="-2"/>
          <w:sz w:val="22"/>
          <w:szCs w:val="22"/>
        </w:rPr>
        <w:t>менее 15 мм</w:t>
      </w:r>
      <w:r>
        <w:rPr>
          <w:rFonts w:eastAsia="Times New Roman"/>
          <w:color w:val="000000"/>
          <w:spacing w:val="-2"/>
          <w:sz w:val="22"/>
          <w:szCs w:val="22"/>
          <w:vertAlign w:val="superscript"/>
        </w:rPr>
        <w:t>2</w:t>
      </w:r>
      <w:r>
        <w:rPr>
          <w:rFonts w:eastAsia="Times New Roman"/>
          <w:color w:val="000000"/>
          <w:spacing w:val="-2"/>
          <w:sz w:val="22"/>
          <w:szCs w:val="22"/>
        </w:rPr>
        <w:t>/с; Плотность</w:t>
      </w:r>
    </w:p>
    <w:p w:rsidR="009208BE" w:rsidRDefault="009208BE" w:rsidP="009208BE">
      <w:pPr>
        <w:shd w:val="clear" w:color="auto" w:fill="FFFFFF"/>
        <w:spacing w:line="250" w:lineRule="exact"/>
        <w:ind w:left="10"/>
      </w:pPr>
      <w:r>
        <w:rPr>
          <w:rFonts w:eastAsia="Times New Roman"/>
          <w:color w:val="000000"/>
          <w:spacing w:val="-2"/>
          <w:sz w:val="22"/>
          <w:szCs w:val="22"/>
        </w:rPr>
        <w:t>при 15°С: не более 878</w:t>
      </w:r>
    </w:p>
    <w:p w:rsidR="009208BE" w:rsidRDefault="009208BE" w:rsidP="009208BE">
      <w:pPr>
        <w:shd w:val="clear" w:color="auto" w:fill="FFFFFF"/>
        <w:spacing w:line="250" w:lineRule="exact"/>
        <w:ind w:left="14"/>
      </w:pPr>
      <w:r>
        <w:rPr>
          <w:rFonts w:eastAsia="Times New Roman"/>
          <w:color w:val="000000"/>
          <w:spacing w:val="-4"/>
          <w:sz w:val="22"/>
          <w:szCs w:val="22"/>
        </w:rPr>
        <w:t>кг/м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3</w:t>
      </w:r>
      <w:r>
        <w:rPr>
          <w:rFonts w:eastAsia="Times New Roman"/>
          <w:color w:val="000000"/>
          <w:spacing w:val="-4"/>
          <w:sz w:val="22"/>
          <w:szCs w:val="22"/>
        </w:rPr>
        <w:t>; Температура</w:t>
      </w:r>
    </w:p>
    <w:p w:rsidR="009208BE" w:rsidRDefault="009208BE" w:rsidP="009208BE">
      <w:pPr>
        <w:shd w:val="clear" w:color="auto" w:fill="FFFFFF"/>
        <w:spacing w:line="250" w:lineRule="exact"/>
        <w:ind w:left="10"/>
      </w:pPr>
      <w:r>
        <w:rPr>
          <w:rFonts w:eastAsia="Times New Roman"/>
          <w:color w:val="000000"/>
          <w:spacing w:val="-3"/>
          <w:sz w:val="22"/>
          <w:szCs w:val="22"/>
        </w:rPr>
        <w:t>застывания: не выше -42°С;</w:t>
      </w:r>
    </w:p>
    <w:p w:rsidR="009208BE" w:rsidRDefault="009208BE" w:rsidP="009208BE">
      <w:pPr>
        <w:shd w:val="clear" w:color="auto" w:fill="FFFFFF"/>
        <w:spacing w:line="250" w:lineRule="exact"/>
        <w:ind w:left="5"/>
      </w:pPr>
      <w:r>
        <w:rPr>
          <w:rFonts w:eastAsia="Times New Roman"/>
          <w:color w:val="000000"/>
          <w:spacing w:val="-2"/>
          <w:sz w:val="22"/>
          <w:szCs w:val="22"/>
        </w:rPr>
        <w:t>Температура вспышки в</w:t>
      </w:r>
    </w:p>
    <w:p w:rsidR="009208BE" w:rsidRDefault="009208BE" w:rsidP="009208BE">
      <w:pPr>
        <w:shd w:val="clear" w:color="auto" w:fill="FFFFFF"/>
        <w:spacing w:line="250" w:lineRule="exact"/>
        <w:ind w:left="5"/>
      </w:pPr>
      <w:r>
        <w:rPr>
          <w:rFonts w:eastAsia="Times New Roman"/>
          <w:color w:val="000000"/>
          <w:spacing w:val="-2"/>
          <w:sz w:val="22"/>
          <w:szCs w:val="22"/>
        </w:rPr>
        <w:t>открытом тигле: не ниже</w:t>
      </w:r>
    </w:p>
    <w:p w:rsidR="009208BE" w:rsidRDefault="009208BE" w:rsidP="009208BE">
      <w:pPr>
        <w:shd w:val="clear" w:color="auto" w:fill="FFFFFF"/>
        <w:spacing w:line="250" w:lineRule="exact"/>
        <w:ind w:left="5"/>
      </w:pPr>
      <w:r>
        <w:rPr>
          <w:color w:val="000000"/>
          <w:spacing w:val="-6"/>
          <w:sz w:val="22"/>
          <w:szCs w:val="22"/>
        </w:rPr>
        <w:t>212</w:t>
      </w:r>
      <w:r>
        <w:rPr>
          <w:rFonts w:eastAsia="Times New Roman"/>
          <w:color w:val="000000"/>
          <w:spacing w:val="-6"/>
          <w:sz w:val="22"/>
          <w:szCs w:val="22"/>
        </w:rPr>
        <w:t>°С.</w:t>
      </w:r>
    </w:p>
    <w:p w:rsidR="009208BE" w:rsidRDefault="009208BE" w:rsidP="009208BE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-1"/>
          <w:sz w:val="22"/>
          <w:szCs w:val="22"/>
        </w:rPr>
        <w:t>Тара: металлическая бочка</w:t>
      </w:r>
    </w:p>
    <w:p w:rsidR="009208BE" w:rsidRDefault="009208BE" w:rsidP="009208BE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-1"/>
          <w:sz w:val="22"/>
          <w:szCs w:val="22"/>
          <w:u w:val="single"/>
        </w:rPr>
        <w:t>объёмом 200-220 литров.</w:t>
      </w:r>
    </w:p>
    <w:p w:rsidR="009208BE" w:rsidRDefault="009208BE" w:rsidP="009208BE">
      <w:pPr>
        <w:shd w:val="clear" w:color="auto" w:fill="FFFFFF"/>
        <w:spacing w:before="509"/>
      </w:pPr>
      <w:r>
        <w:br w:type="column"/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Ед. изм.</w:t>
      </w:r>
    </w:p>
    <w:p w:rsidR="009208BE" w:rsidRDefault="009208BE" w:rsidP="009208BE">
      <w:pPr>
        <w:shd w:val="clear" w:color="auto" w:fill="FFFFFF"/>
        <w:spacing w:before="2659" w:line="250" w:lineRule="exact"/>
        <w:ind w:left="106"/>
      </w:pPr>
      <w:r>
        <w:rPr>
          <w:rFonts w:eastAsia="Times New Roman"/>
          <w:color w:val="000000"/>
          <w:spacing w:val="-5"/>
          <w:sz w:val="22"/>
          <w:szCs w:val="22"/>
        </w:rPr>
        <w:t xml:space="preserve">Кило </w:t>
      </w:r>
      <w:r>
        <w:rPr>
          <w:rFonts w:eastAsia="Times New Roman"/>
          <w:color w:val="000000"/>
          <w:spacing w:val="-6"/>
          <w:sz w:val="22"/>
          <w:szCs w:val="22"/>
        </w:rPr>
        <w:t>грамм</w:t>
      </w:r>
    </w:p>
    <w:p w:rsidR="009208BE" w:rsidRDefault="009208BE" w:rsidP="009208BE">
      <w:pPr>
        <w:shd w:val="clear" w:color="auto" w:fill="FFFFFF"/>
        <w:spacing w:before="379" w:line="254" w:lineRule="exact"/>
        <w:ind w:left="182" w:hanging="125"/>
      </w:pPr>
      <w:r>
        <w:br w:type="column"/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Кол-</w:t>
      </w:r>
      <w:r>
        <w:rPr>
          <w:rFonts w:eastAsia="Times New Roman"/>
          <w:b/>
          <w:bCs/>
          <w:color w:val="000000"/>
          <w:spacing w:val="-9"/>
          <w:sz w:val="22"/>
          <w:szCs w:val="22"/>
        </w:rPr>
        <w:t>во</w:t>
      </w:r>
    </w:p>
    <w:p w:rsidR="009208BE" w:rsidRDefault="009208BE" w:rsidP="009208BE">
      <w:pPr>
        <w:shd w:val="clear" w:color="auto" w:fill="FFFFFF"/>
        <w:spacing w:before="2654"/>
      </w:pPr>
      <w:r>
        <w:rPr>
          <w:color w:val="000000"/>
          <w:spacing w:val="-7"/>
          <w:sz w:val="22"/>
          <w:szCs w:val="22"/>
        </w:rPr>
        <w:t>10 000</w:t>
      </w:r>
    </w:p>
    <w:p w:rsidR="009208BE" w:rsidRDefault="009208BE" w:rsidP="009208BE">
      <w:pPr>
        <w:shd w:val="clear" w:color="auto" w:fill="FFFFFF"/>
        <w:spacing w:before="5" w:line="250" w:lineRule="exact"/>
        <w:ind w:left="91" w:firstLine="389"/>
      </w:pPr>
      <w:r>
        <w:br w:type="column"/>
      </w:r>
    </w:p>
    <w:p w:rsidR="009208BE" w:rsidRDefault="009208BE" w:rsidP="009208BE">
      <w:pPr>
        <w:shd w:val="clear" w:color="auto" w:fill="FFFFFF"/>
        <w:spacing w:line="250" w:lineRule="exact"/>
        <w:ind w:firstLine="139"/>
        <w:sectPr w:rsidR="009208BE">
          <w:type w:val="continuous"/>
          <w:pgSz w:w="11933" w:h="16718"/>
          <w:pgMar w:top="1008" w:right="389" w:bottom="466" w:left="1344" w:header="720" w:footer="720" w:gutter="0"/>
          <w:cols w:num="7" w:sep="1" w:space="720" w:equalWidth="0">
            <w:col w:w="720" w:space="29"/>
            <w:col w:w="1574" w:space="312"/>
            <w:col w:w="2577" w:space="206"/>
            <w:col w:w="772" w:space="187"/>
            <w:col w:w="720" w:space="19"/>
            <w:col w:w="1512" w:space="58"/>
            <w:col w:w="1512"/>
          </w:cols>
          <w:noEndnote/>
        </w:sectPr>
      </w:pPr>
    </w:p>
    <w:p w:rsidR="009208BE" w:rsidRDefault="009208BE" w:rsidP="009208BE">
      <w:pPr>
        <w:shd w:val="clear" w:color="auto" w:fill="FFFFFF"/>
        <w:spacing w:before="494"/>
        <w:ind w:left="58"/>
      </w:pPr>
    </w:p>
    <w:p w:rsidR="00DF53A0" w:rsidRDefault="00DF53A0">
      <w:bookmarkStart w:id="0" w:name="_GoBack"/>
      <w:bookmarkEnd w:id="0"/>
    </w:p>
    <w:sectPr w:rsidR="00DF53A0">
      <w:type w:val="continuous"/>
      <w:pgSz w:w="11933" w:h="16718"/>
      <w:pgMar w:top="1008" w:right="811" w:bottom="466" w:left="2030" w:header="720" w:footer="720" w:gutter="0"/>
      <w:cols w:num="2" w:space="720" w:equalWidth="0">
        <w:col w:w="3000" w:space="4426"/>
        <w:col w:w="16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BE"/>
    <w:rsid w:val="009208BE"/>
    <w:rsid w:val="00D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2CF2-CF8C-44F8-B2C6-A90498AD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8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2018-03-20T10:45:00Z</dcterms:created>
  <dcterms:modified xsi:type="dcterms:W3CDTF">2018-03-20T10:46:00Z</dcterms:modified>
</cp:coreProperties>
</file>