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00"/>
        <w:jc w:val="center"/>
        <w:outlineLvl w:val="2"/>
        <w:rPr>
          <w:rFonts w:ascii="Times New Roman" w:hAnsi="Times New Roman" w:eastAsia="Times New Roman" w:cs="Times New Roman"/>
          <w:b/>
          <w:b/>
          <w:color w:val="464646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464646"/>
          <w:sz w:val="28"/>
          <w:szCs w:val="28"/>
          <w:lang w:eastAsia="ru-RU"/>
        </w:rPr>
        <w:t>ТЕХНИЧЕСКОЕ ЗАДАНИЕ НА ПОСТАВКУ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00"/>
        <w:jc w:val="center"/>
        <w:outlineLvl w:val="2"/>
        <w:rPr>
          <w:rFonts w:ascii="Times New Roman" w:hAnsi="Times New Roman" w:eastAsia="Times New Roman" w:cs="Times New Roman"/>
          <w:b/>
          <w:b/>
          <w:color w:val="464646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464646"/>
          <w:sz w:val="28"/>
          <w:szCs w:val="28"/>
          <w:lang w:eastAsia="ru-RU"/>
        </w:rPr>
        <w:t>МЕТАЛЛООБРАБАТЫВАЮЩИХ СТАНКОВ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ind w:left="525" w:hanging="36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</w:rPr>
        <w:t>16ВТ20П-22</w:t>
      </w: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  <w:highlight w:val="yellow"/>
        </w:rPr>
        <w:t>Г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>токарно-винторезный станок повышенного класса точности.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НАЗНАЧЕНИЕ: </w:t>
      </w:r>
      <w:r>
        <w:rPr>
          <w:rFonts w:cs="Times New Roman" w:ascii="Times New Roman" w:hAnsi="Times New Roman"/>
          <w:sz w:val="28"/>
          <w:szCs w:val="28"/>
        </w:rPr>
        <w:t xml:space="preserve">Предназначен для выполнения широкого спектра токарных работ: операций наружного точения и растачивания внутренних цилиндрических и конических поверхностей, сверления, зенкерования и развертывания, а также нарезания наружных и внутренних метрических, дюймовых, модульных и питчевых резьб. 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00"/>
        <w:outlineLvl w:val="2"/>
        <w:rPr>
          <w:rFonts w:ascii="Times New Roman" w:hAnsi="Times New Roman" w:eastAsia="Times New Roman" w:cs="Times New Roman"/>
          <w:color w:val="464646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464646"/>
          <w:sz w:val="28"/>
          <w:szCs w:val="28"/>
          <w:lang w:eastAsia="ru-RU"/>
        </w:rPr>
        <w:t>Количество: 1 шт.</w:t>
      </w:r>
    </w:p>
    <w:p>
      <w:pPr>
        <w:pStyle w:val="Normal"/>
        <w:ind w:firstLine="708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ОСОБЕННОСТИ: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Станки класса точности П;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Полностью литая станина и основание станка;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Конструкция станка и его технические характеристики обеспечивают высококачественную обработку деталей из различных материалов современным режущим инструментом на оптимальных режимах резания;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Автоматическая централизованная смазка;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Опережающая смазка механизмов;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Закаленные направляющие станины;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Высокоточный шпиндель с отверстием 55 мм в базовой комплектации (95 по спец. заказу);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Жесткий резцедержатель на 4 позиции;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Термообработанные шлифованные направляющие станины, обеспечивающие длительный срок службы и повышенную точность обработки;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Механический фрикцион;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Пневморазгрузка задней бабки;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Электромагнитная муфта аварийного останова;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Фартук имеет собственный привод ускоренного перемещения каретки и суппорта, позволяет осуществлять работу по упорам с автоматическим отключением подачи при контакте с упором в момент увеличения нагрузки на реечной шестерне;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Коробка подач обладает высокой жесткостью кинематической цепи и позволяет производить нарезку резьб 11 и 19 ниток на дюйм без смены шестерен гитары;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Ограждения зоны резания и патрона, электрические и механические блокировки гарантируют безопасную работу на станках;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возможно оснащение станков системой цифровой индикации (ЦИ) на 2 оси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  <w:t>- Наличие ГАП.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КОМПЛЕКТ ПОСТАВКИ: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Станок в сборе 16ВТ20П-21.000;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Система подачи СОЖ;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Пневмооборудование для \"разгрузки\" задней бабки; </w:t>
      </w:r>
    </w:p>
    <w:p>
      <w:pPr>
        <w:pStyle w:val="Normal"/>
        <w:ind w:left="360" w:firstLine="34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Патрон 3-х кулачковый диам. 250 мм </w:t>
      </w:r>
      <w:r>
        <w:rPr>
          <w:rFonts w:cs="Times New Roman" w:ascii="Times New Roman" w:hAnsi="Times New Roman"/>
          <w:bCs/>
          <w:sz w:val="28"/>
          <w:szCs w:val="28"/>
        </w:rPr>
        <w:t>(</w:t>
      </w:r>
      <w:r>
        <w:rPr>
          <w:rFonts w:eastAsia="MS Mincho" w:cs="Times New Roman" w:ascii="Times New Roman" w:hAnsi="Times New Roman"/>
          <w:sz w:val="28"/>
          <w:szCs w:val="28"/>
        </w:rPr>
        <w:t xml:space="preserve">ГОСТ 2675-80 7100-0035П / 3-250.35.01П Ø250 ТУ </w:t>
      </w:r>
      <w:r>
        <w:rPr>
          <w:rFonts w:eastAsia="MS Mincho" w:cs="Times New Roman" w:ascii="Times New Roman" w:hAnsi="Times New Roman"/>
          <w:sz w:val="28"/>
          <w:szCs w:val="28"/>
          <w:lang w:val="en-US"/>
        </w:rPr>
        <w:t>BY</w:t>
      </w:r>
      <w:r>
        <w:rPr>
          <w:rFonts w:eastAsia="MS Mincho" w:cs="Times New Roman" w:ascii="Times New Roman" w:hAnsi="Times New Roman"/>
          <w:sz w:val="28"/>
          <w:szCs w:val="28"/>
        </w:rPr>
        <w:t xml:space="preserve"> 500047867.022-2007г.)</w:t>
      </w:r>
      <w:r>
        <w:rPr>
          <w:rFonts w:cs="Times New Roman" w:ascii="Times New Roman" w:hAnsi="Times New Roman"/>
          <w:sz w:val="28"/>
          <w:szCs w:val="28"/>
        </w:rPr>
        <w:t xml:space="preserve">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Ограждение патрона;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Ограждение суппорта;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Центр вращающийся с конусом Морзе 5 </w:t>
      </w:r>
      <w:r>
        <w:rPr>
          <w:rFonts w:cs="Times New Roman" w:ascii="Times New Roman" w:hAnsi="Times New Roman"/>
          <w:bCs/>
          <w:sz w:val="28"/>
          <w:szCs w:val="28"/>
        </w:rPr>
        <w:t>(ГОСТ 7032-41-58-03)</w:t>
      </w:r>
      <w:r>
        <w:rPr>
          <w:rFonts w:cs="Times New Roman" w:ascii="Times New Roman" w:hAnsi="Times New Roman"/>
          <w:sz w:val="28"/>
          <w:szCs w:val="28"/>
        </w:rPr>
        <w:t xml:space="preserve">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Центр упорный с конусом Морзе 6;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Комплект ключей и принадлежностей 16ВТ20.90.000;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техническая документация (руководство пользователя).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  <w:t xml:space="preserve">- Люнет подвижный 16ВТ20.93.000;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  <w:t>- Люнет неподвижный 16ВТ20.101.000;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300"/>
        <w:jc w:val="both"/>
        <w:outlineLvl w:val="2"/>
        <w:rPr>
          <w:rFonts w:ascii="Times New Roman" w:hAnsi="Times New Roman" w:eastAsia="Times New Roman" w:cs="Times New Roman"/>
          <w:color w:val="464646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464646"/>
          <w:sz w:val="28"/>
          <w:szCs w:val="28"/>
          <w:lang w:eastAsia="ru-RU"/>
        </w:rPr>
      </w:r>
    </w:p>
    <w:p>
      <w:pPr>
        <w:pStyle w:val="NoSpacing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Технические характеристики.</w:t>
      </w:r>
    </w:p>
    <w:p>
      <w:pPr>
        <w:pStyle w:val="NoSpacing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ind w:firstLine="708"/>
        <w:jc w:val="center"/>
        <w:rPr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tbl>
      <w:tblPr>
        <w:tblW w:w="8789" w:type="dxa"/>
        <w:jc w:val="left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945"/>
        <w:gridCol w:w="1843"/>
      </w:tblGrid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Модель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16ВТ20П-22</w:t>
            </w:r>
            <w:r>
              <w:rPr>
                <w:color w:val="000000"/>
                <w:highlight w:val="yellow"/>
              </w:rPr>
              <w:t>Г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Расстояние между центрами,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Наибольшее продольное перемещение каретки,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1360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Наибольшая длина перемещения резцовых салазок суппорта,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150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Наибольшее поперечное перемещение каретки,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285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Максимальный диаметр обработки над станиной,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Максимальный диаметр обработки в ГАП,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650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Максимальная длина обработки в ГАП,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300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Максимальный диаметр обработки над суппортом,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Диаметр цилиндрического отверстия в шпинделе,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 xml:space="preserve"> 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Ход пиноли задней бабки,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Частота вращения шпинделя, мин -1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12,5 - 1600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Количество скоростей прямого вращения шпинделя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 xml:space="preserve">24 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Количество скоростей обратного вращения шпинделя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 xml:space="preserve">12 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Наибольший крутящий момент на шпинделе, Нм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1000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Диапазон продольной подачи, мм./об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0,05 - 2,8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Диапазон поперечной подачи, мм./об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0,025 - 1,4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Количество подач суппорта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24 (продольных и поперечных)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Высота резца, установленного в резцедержателе, мм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25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Шаг нарезаемой метрической резьбы (число ступеней), мм.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0,5 - 112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Шаг нарезаемой модульной резьбы (число ступеней), модуль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0,5 - 112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Шаг нарезаемой дюймовой резьбы (число ступеней), нит./1`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56 - 0.5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Шаг нарезаемой питчевой резьбы (число ступеней), питч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56 - 0,5</w:t>
            </w:r>
          </w:p>
        </w:tc>
      </w:tr>
      <w:tr>
        <w:trPr/>
        <w:tc>
          <w:tcPr>
            <w:tcW w:w="694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Скорость быстрого продольного перемещения суппорта, м/мин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3,8</w:t>
            </w:r>
          </w:p>
        </w:tc>
      </w:tr>
      <w:tr>
        <w:trPr/>
        <w:tc>
          <w:tcPr>
            <w:tcW w:w="694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Скорость быстрого поперечного перемещения суппорта, м/мин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1,9</w:t>
            </w:r>
          </w:p>
        </w:tc>
      </w:tr>
      <w:tr>
        <w:trPr/>
        <w:tc>
          <w:tcPr>
            <w:tcW w:w="694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Класс точности по ГОСТ 8-82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П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Мощность привода главного движения, кВт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11,0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Суммарная мощность установленных на станке электродвигателей, кВт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11,55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Частота питающего тока, Гц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000000"/>
              </w:rPr>
              <w:t>50 ± 0,5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Номинальное напряжение питания, В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color w:val="000000"/>
              </w:rPr>
              <w:t>380 ± 38</w:t>
            </w:r>
          </w:p>
        </w:tc>
      </w:tr>
      <w:tr>
        <w:trPr/>
        <w:tc>
          <w:tcPr>
            <w:tcW w:w="694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Конус шпинделя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 xml:space="preserve">Морзе 6 ГОСТ 13214 </w:t>
            </w:r>
          </w:p>
        </w:tc>
      </w:tr>
      <w:tr>
        <w:trPr/>
        <w:tc>
          <w:tcPr>
            <w:tcW w:w="694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Конец шпинделя</w:t>
              <w:tab/>
              <w:t xml:space="preserve"> 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 xml:space="preserve">6К ГОСТ 12593, </w:t>
            </w:r>
          </w:p>
          <w:p>
            <w:pPr>
              <w:pStyle w:val="Normal"/>
              <w:spacing w:before="0" w:after="200"/>
              <w:jc w:val="center"/>
              <w:rPr/>
            </w:pPr>
            <w:r>
              <w:rPr/>
              <w:t xml:space="preserve">фланец D=170 мм </w:t>
            </w:r>
          </w:p>
        </w:tc>
      </w:tr>
      <w:tr>
        <w:trPr/>
        <w:tc>
          <w:tcPr>
            <w:tcW w:w="694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Центр в пиноли задней бабки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 xml:space="preserve">Морзе 5 ГОСТ 13214 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Габаритные размеры, мм (в упаковке)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jc w:val="center"/>
              <w:rPr/>
            </w:pPr>
            <w:r>
              <w:rPr/>
              <w:t>3300 х 1265 х 1505</w:t>
            </w:r>
          </w:p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(3570 х 1540 х 1900)</w:t>
            </w:r>
          </w:p>
        </w:tc>
      </w:tr>
      <w:tr>
        <w:trPr/>
        <w:tc>
          <w:tcPr>
            <w:tcW w:w="6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color w:val="000000"/>
              </w:rPr>
            </w:pPr>
            <w:r>
              <w:rPr>
                <w:color w:val="000000"/>
              </w:rPr>
              <w:t>Масса, кг (нетто / брутто)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color w:val="000000"/>
              </w:rPr>
            </w:pPr>
            <w:r>
              <w:rPr/>
              <w:t>3250 / 3900</w:t>
            </w:r>
          </w:p>
        </w:tc>
      </w:tr>
    </w:tbl>
    <w:p>
      <w:pPr>
        <w:pStyle w:val="Normal"/>
        <w:ind w:firstLine="708"/>
        <w:jc w:val="both"/>
        <w:rPr/>
      </w:pPr>
      <w:r>
        <w:rPr/>
      </w:r>
    </w:p>
    <w:p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 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cs="Times New Roman"/>
          <w:b/>
          <w:b/>
          <w:color w:val="333333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4. </w:t>
      </w:r>
      <w:r>
        <w:rPr>
          <w:rFonts w:cs="Times New Roman" w:ascii="Times New Roman" w:hAnsi="Times New Roman"/>
          <w:b/>
          <w:color w:val="333333"/>
          <w:sz w:val="28"/>
          <w:szCs w:val="28"/>
          <w:shd w:fill="FFFFFF" w:val="clear"/>
        </w:rPr>
        <w:t>Работы выполняемые поставщиком:</w:t>
      </w:r>
    </w:p>
    <w:p>
      <w:pPr>
        <w:pStyle w:val="Normal"/>
        <w:shd w:val="clear" w:color="auto" w:fill="FFFFFF"/>
        <w:spacing w:lineRule="auto" w:line="240" w:beforeAutospacing="1" w:afterAutospacing="1"/>
        <w:rPr/>
      </w:pPr>
      <w:r>
        <w:rPr>
          <w:rFonts w:cs="Times New Roman" w:ascii="Times New Roman" w:hAnsi="Times New Roman"/>
          <w:b/>
          <w:color w:val="333333"/>
          <w:sz w:val="28"/>
          <w:szCs w:val="28"/>
          <w:shd w:fill="FFFFFF" w:val="clear"/>
        </w:rPr>
        <w:t>- Доставка по адресу: Орловская область, Хотынецкий р-н, с. Воейково</w:t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Times New Roman" w:hAnsi="Times New Roman" w:cs="Times New Roman"/>
          <w:color w:val="333333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>- монтаж станка - Узнать стоимость отдельной строкой.</w:t>
      </w:r>
    </w:p>
    <w:p>
      <w:pPr>
        <w:pStyle w:val="Normal"/>
        <w:shd w:val="clear" w:color="auto" w:fill="FFFFFF"/>
        <w:spacing w:lineRule="auto" w:line="240" w:beforeAutospacing="1" w:afterAutospacing="1"/>
        <w:rPr/>
      </w:pPr>
      <w:r>
        <w:rPr>
          <w:rFonts w:cs="Times New Roman" w:ascii="Times New Roman" w:hAnsi="Times New Roman"/>
          <w:color w:val="333333"/>
          <w:sz w:val="28"/>
          <w:szCs w:val="28"/>
          <w:shd w:fill="FFFFFF" w:val="clear"/>
        </w:rPr>
        <w:t xml:space="preserve">- пусконаладочные работы. </w:t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c74f6d"/>
    <w:pPr>
      <w:keepNext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link w:val="20"/>
    <w:uiPriority w:val="9"/>
    <w:unhideWhenUsed/>
    <w:qFormat/>
    <w:rsid w:val="00ba51c1"/>
    <w:pPr>
      <w:keepNext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link w:val="30"/>
    <w:uiPriority w:val="9"/>
    <w:qFormat/>
    <w:rsid w:val="006f10e8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6f10e8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rong">
    <w:name w:val="Strong"/>
    <w:basedOn w:val="DefaultParagraphFont"/>
    <w:uiPriority w:val="22"/>
    <w:qFormat/>
    <w:rsid w:val="006f10e8"/>
    <w:rPr>
      <w:b/>
      <w:bCs/>
    </w:rPr>
  </w:style>
  <w:style w:type="character" w:styleId="Style11">
    <w:name w:val="Интернет-ссылка"/>
    <w:basedOn w:val="DefaultParagraphFont"/>
    <w:uiPriority w:val="99"/>
    <w:semiHidden/>
    <w:unhideWhenUsed/>
    <w:rsid w:val="00b37ef4"/>
    <w:rPr>
      <w:color w:val="0000FF"/>
      <w:u w:val="single"/>
    </w:rPr>
  </w:style>
  <w:style w:type="character" w:styleId="Style12" w:customStyle="1">
    <w:name w:val="Текст выноски Знак"/>
    <w:basedOn w:val="DefaultParagraphFont"/>
    <w:link w:val="a6"/>
    <w:uiPriority w:val="99"/>
    <w:semiHidden/>
    <w:qFormat/>
    <w:rsid w:val="00b37ef4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c74f6d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ba51c1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ListLabel1">
    <w:name w:val="ListLabel 1"/>
    <w:qFormat/>
    <w:rPr>
      <w:rFonts w:eastAsia="Times New Roman" w:cs="Arial"/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sz w:val="20"/>
    </w:rPr>
  </w:style>
  <w:style w:type="character" w:styleId="ListLabel38">
    <w:name w:val="ListLabel 38"/>
    <w:qFormat/>
    <w:rPr>
      <w:sz w:val="20"/>
    </w:rPr>
  </w:style>
  <w:style w:type="character" w:styleId="ListLabel39">
    <w:name w:val="ListLabel 39"/>
    <w:qFormat/>
    <w:rPr>
      <w:sz w:val="20"/>
    </w:rPr>
  </w:style>
  <w:style w:type="character" w:styleId="ListLabel40">
    <w:name w:val="ListLabel 40"/>
    <w:qFormat/>
    <w:rPr>
      <w:sz w:val="20"/>
    </w:rPr>
  </w:style>
  <w:style w:type="character" w:styleId="ListLabel41">
    <w:name w:val="ListLabel 41"/>
    <w:qFormat/>
    <w:rPr>
      <w:sz w:val="20"/>
    </w:rPr>
  </w:style>
  <w:style w:type="character" w:styleId="ListLabel42">
    <w:name w:val="ListLabel 42"/>
    <w:qFormat/>
    <w:rPr>
      <w:sz w:val="20"/>
    </w:rPr>
  </w:style>
  <w:style w:type="character" w:styleId="ListLabel43">
    <w:name w:val="ListLabel 43"/>
    <w:qFormat/>
    <w:rPr>
      <w:sz w:val="20"/>
    </w:rPr>
  </w:style>
  <w:style w:type="character" w:styleId="ListLabel44">
    <w:name w:val="ListLabel 44"/>
    <w:qFormat/>
    <w:rPr>
      <w:sz w:val="20"/>
    </w:rPr>
  </w:style>
  <w:style w:type="character" w:styleId="ListLabel45">
    <w:name w:val="ListLabel 45"/>
    <w:qFormat/>
    <w:rPr>
      <w:sz w:val="20"/>
    </w:rPr>
  </w:style>
  <w:style w:type="character" w:styleId="ListLabel46">
    <w:name w:val="ListLabel 46"/>
    <w:qFormat/>
    <w:rPr>
      <w:sz w:val="20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sz w:val="20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character" w:styleId="ListLabel82">
    <w:name w:val="ListLabel 82"/>
    <w:qFormat/>
    <w:rPr>
      <w:sz w:val="20"/>
    </w:rPr>
  </w:style>
  <w:style w:type="character" w:styleId="ListLabel83">
    <w:name w:val="ListLabel 83"/>
    <w:qFormat/>
    <w:rPr>
      <w:sz w:val="20"/>
    </w:rPr>
  </w:style>
  <w:style w:type="character" w:styleId="ListLabel84">
    <w:name w:val="ListLabel 84"/>
    <w:qFormat/>
    <w:rPr>
      <w:sz w:val="20"/>
    </w:rPr>
  </w:style>
  <w:style w:type="character" w:styleId="ListLabel85">
    <w:name w:val="ListLabel 85"/>
    <w:qFormat/>
    <w:rPr>
      <w:sz w:val="20"/>
    </w:rPr>
  </w:style>
  <w:style w:type="character" w:styleId="ListLabel86">
    <w:name w:val="ListLabel 86"/>
    <w:qFormat/>
    <w:rPr>
      <w:sz w:val="20"/>
    </w:rPr>
  </w:style>
  <w:style w:type="character" w:styleId="ListLabel87">
    <w:name w:val="ListLabel 87"/>
    <w:qFormat/>
    <w:rPr>
      <w:sz w:val="20"/>
    </w:rPr>
  </w:style>
  <w:style w:type="character" w:styleId="ListLabel88">
    <w:name w:val="ListLabel 88"/>
    <w:qFormat/>
    <w:rPr>
      <w:sz w:val="20"/>
    </w:rPr>
  </w:style>
  <w:style w:type="character" w:styleId="ListLabel89">
    <w:name w:val="ListLabel 89"/>
    <w:qFormat/>
    <w:rPr>
      <w:sz w:val="20"/>
    </w:rPr>
  </w:style>
  <w:style w:type="character" w:styleId="ListLabel90">
    <w:name w:val="ListLabel 90"/>
    <w:qFormat/>
    <w:rPr>
      <w:sz w:val="20"/>
    </w:rPr>
  </w:style>
  <w:style w:type="character" w:styleId="ListLabel91">
    <w:name w:val="ListLabel 91"/>
    <w:qFormat/>
    <w:rPr>
      <w:sz w:val="20"/>
    </w:rPr>
  </w:style>
  <w:style w:type="character" w:styleId="ListLabel92">
    <w:name w:val="ListLabel 92"/>
    <w:qFormat/>
    <w:rPr>
      <w:sz w:val="20"/>
    </w:rPr>
  </w:style>
  <w:style w:type="character" w:styleId="ListLabel93">
    <w:name w:val="ListLabel 93"/>
    <w:qFormat/>
    <w:rPr>
      <w:sz w:val="20"/>
    </w:rPr>
  </w:style>
  <w:style w:type="character" w:styleId="ListLabel94">
    <w:name w:val="ListLabel 94"/>
    <w:qFormat/>
    <w:rPr>
      <w:sz w:val="20"/>
    </w:rPr>
  </w:style>
  <w:style w:type="character" w:styleId="ListLabel95">
    <w:name w:val="ListLabel 95"/>
    <w:qFormat/>
    <w:rPr>
      <w:sz w:val="20"/>
    </w:rPr>
  </w:style>
  <w:style w:type="character" w:styleId="ListLabel96">
    <w:name w:val="ListLabel 96"/>
    <w:qFormat/>
    <w:rPr>
      <w:sz w:val="20"/>
    </w:rPr>
  </w:style>
  <w:style w:type="character" w:styleId="ListLabel97">
    <w:name w:val="ListLabel 97"/>
    <w:qFormat/>
    <w:rPr>
      <w:sz w:val="20"/>
    </w:rPr>
  </w:style>
  <w:style w:type="character" w:styleId="ListLabel98">
    <w:name w:val="ListLabel 98"/>
    <w:qFormat/>
    <w:rPr>
      <w:sz w:val="20"/>
    </w:rPr>
  </w:style>
  <w:style w:type="character" w:styleId="ListLabel99">
    <w:name w:val="ListLabel 99"/>
    <w:qFormat/>
    <w:rPr>
      <w:sz w:val="20"/>
    </w:rPr>
  </w:style>
  <w:style w:type="character" w:styleId="ListLabel100">
    <w:name w:val="ListLabel 100"/>
    <w:qFormat/>
    <w:rPr>
      <w:sz w:val="20"/>
    </w:rPr>
  </w:style>
  <w:style w:type="character" w:styleId="ListLabel101">
    <w:name w:val="ListLabel 101"/>
    <w:qFormat/>
    <w:rPr>
      <w:sz w:val="20"/>
    </w:rPr>
  </w:style>
  <w:style w:type="character" w:styleId="ListLabel102">
    <w:name w:val="ListLabel 102"/>
    <w:qFormat/>
    <w:rPr>
      <w:sz w:val="20"/>
    </w:rPr>
  </w:style>
  <w:style w:type="character" w:styleId="ListLabel103">
    <w:name w:val="ListLabel 103"/>
    <w:qFormat/>
    <w:rPr>
      <w:sz w:val="20"/>
    </w:rPr>
  </w:style>
  <w:style w:type="character" w:styleId="ListLabel104">
    <w:name w:val="ListLabel 104"/>
    <w:qFormat/>
    <w:rPr>
      <w:sz w:val="20"/>
    </w:rPr>
  </w:style>
  <w:style w:type="character" w:styleId="ListLabel105">
    <w:name w:val="ListLabel 105"/>
    <w:qFormat/>
    <w:rPr>
      <w:sz w:val="20"/>
    </w:rPr>
  </w:style>
  <w:style w:type="character" w:styleId="ListLabel106">
    <w:name w:val="ListLabel 106"/>
    <w:qFormat/>
    <w:rPr>
      <w:sz w:val="20"/>
    </w:rPr>
  </w:style>
  <w:style w:type="character" w:styleId="ListLabel107">
    <w:name w:val="ListLabel 107"/>
    <w:qFormat/>
    <w:rPr>
      <w:sz w:val="20"/>
    </w:rPr>
  </w:style>
  <w:style w:type="character" w:styleId="ListLabel108">
    <w:name w:val="ListLabel 108"/>
    <w:qFormat/>
    <w:rPr>
      <w:sz w:val="20"/>
    </w:rPr>
  </w:style>
  <w:style w:type="character" w:styleId="ListLabel109">
    <w:name w:val="ListLabel 109"/>
    <w:qFormat/>
    <w:rPr>
      <w:rFonts w:ascii="Times New Roman" w:hAnsi="Times New Roman"/>
      <w:sz w:val="28"/>
    </w:rPr>
  </w:style>
  <w:style w:type="character" w:styleId="ListLabel110">
    <w:name w:val="ListLabel 110"/>
    <w:qFormat/>
    <w:rPr>
      <w:sz w:val="20"/>
    </w:rPr>
  </w:style>
  <w:style w:type="character" w:styleId="ListLabel111">
    <w:name w:val="ListLabel 111"/>
    <w:qFormat/>
    <w:rPr>
      <w:sz w:val="20"/>
    </w:rPr>
  </w:style>
  <w:style w:type="character" w:styleId="ListLabel112">
    <w:name w:val="ListLabel 112"/>
    <w:qFormat/>
    <w:rPr>
      <w:sz w:val="20"/>
    </w:rPr>
  </w:style>
  <w:style w:type="character" w:styleId="ListLabel113">
    <w:name w:val="ListLabel 113"/>
    <w:qFormat/>
    <w:rPr>
      <w:sz w:val="20"/>
    </w:rPr>
  </w:style>
  <w:style w:type="character" w:styleId="ListLabel114">
    <w:name w:val="ListLabel 114"/>
    <w:qFormat/>
    <w:rPr>
      <w:sz w:val="20"/>
    </w:rPr>
  </w:style>
  <w:style w:type="character" w:styleId="ListLabel115">
    <w:name w:val="ListLabel 115"/>
    <w:qFormat/>
    <w:rPr>
      <w:sz w:val="20"/>
    </w:rPr>
  </w:style>
  <w:style w:type="character" w:styleId="ListLabel116">
    <w:name w:val="ListLabel 116"/>
    <w:qFormat/>
    <w:rPr>
      <w:sz w:val="20"/>
    </w:rPr>
  </w:style>
  <w:style w:type="character" w:styleId="ListLabel117">
    <w:name w:val="ListLabel 117"/>
    <w:qFormat/>
    <w:rPr>
      <w:sz w:val="20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Free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uiPriority w:val="99"/>
    <w:semiHidden/>
    <w:unhideWhenUsed/>
    <w:qFormat/>
    <w:rsid w:val="006f10e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Zagg" w:customStyle="1">
    <w:name w:val="zagg"/>
    <w:basedOn w:val="Normal"/>
    <w:qFormat/>
    <w:rsid w:val="00b37ef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ame" w:customStyle="1">
    <w:name w:val="name"/>
    <w:basedOn w:val="Normal"/>
    <w:qFormat/>
    <w:rsid w:val="00b37ef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Otziv" w:customStyle="1">
    <w:name w:val="otziv"/>
    <w:basedOn w:val="Normal"/>
    <w:qFormat/>
    <w:rsid w:val="00b37ef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b37ef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4dea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854de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LibreOffice/5.1.6.2$Linux_X86_64 LibreOffice_project/10m0$Build-2</Application>
  <Pages>4</Pages>
  <Words>584</Words>
  <Characters>3711</Characters>
  <CharactersWithSpaces>4214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2018-04-17T07:11:00Z</dcterms:created>
  <dc:creator>Виктор Ивлев</dc:creator>
  <dc:description/>
  <dc:language>ru-RU</dc:language>
  <cp:lastModifiedBy/>
  <dcterms:modified xsi:type="dcterms:W3CDTF">2018-04-24T15:10:58Z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