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9"/>
        <w:gridCol w:w="6382"/>
        <w:gridCol w:w="1740"/>
        <w:gridCol w:w="1077"/>
      </w:tblGrid>
      <w:tr w:rsidR="00BE6012" w:rsidTr="003865A6">
        <w:trPr>
          <w:trHeight w:val="12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-2"/>
              <w:tabs>
                <w:tab w:val="left" w:pos="1260"/>
              </w:tabs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-2"/>
              <w:tabs>
                <w:tab w:val="left" w:pos="1260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-2"/>
              <w:tabs>
                <w:tab w:val="left" w:pos="1260"/>
              </w:tabs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измер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BE6012" w:rsidRDefault="00BE6012" w:rsidP="003865A6">
            <w:pPr>
              <w:pStyle w:val="-2"/>
              <w:tabs>
                <w:tab w:val="left" w:pos="1260"/>
              </w:tabs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</w:tr>
      <w:tr w:rsidR="00BE6012" w:rsidTr="003865A6">
        <w:trPr>
          <w:trHeight w:val="12"/>
        </w:trPr>
        <w:tc>
          <w:tcPr>
            <w:tcW w:w="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-2"/>
              <w:tabs>
                <w:tab w:val="left" w:pos="1260"/>
              </w:tabs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-2"/>
              <w:tabs>
                <w:tab w:val="left" w:pos="1260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bookmarkStart w:id="0" w:name="__DdeLink__5194_115672346"/>
            <w:r>
              <w:rPr>
                <w:sz w:val="24"/>
                <w:szCs w:val="24"/>
              </w:rPr>
              <w:t>Электрокардиограф</w:t>
            </w:r>
            <w:bookmarkEnd w:id="0"/>
            <w:r>
              <w:rPr>
                <w:sz w:val="24"/>
                <w:szCs w:val="24"/>
              </w:rPr>
              <w:t xml:space="preserve"> трех или более канальный с автоматическим режимом и облачной автоматической обработкой и хранением ЭКГ 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-2"/>
              <w:tabs>
                <w:tab w:val="left" w:pos="1260"/>
              </w:tabs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3" w:type="dxa"/>
            </w:tcMar>
          </w:tcPr>
          <w:p w:rsidR="00BE6012" w:rsidRDefault="00BE6012" w:rsidP="003865A6">
            <w:pPr>
              <w:pStyle w:val="-2"/>
              <w:tabs>
                <w:tab w:val="left" w:pos="1260"/>
              </w:tabs>
              <w:spacing w:before="0"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:rsidR="00BE6012" w:rsidRDefault="00BE6012" w:rsidP="00BE6012">
      <w:pPr>
        <w:pStyle w:val="a5"/>
        <w:ind w:left="360" w:right="111"/>
        <w:jc w:val="both"/>
        <w:rPr>
          <w:rFonts w:ascii="Times New Roman" w:hAnsi="Times New Roman" w:cs="Times New Roman"/>
          <w:b/>
          <w:bCs/>
        </w:rPr>
      </w:pPr>
    </w:p>
    <w:p w:rsidR="00BE6012" w:rsidRDefault="00BE6012" w:rsidP="00BE6012">
      <w:pPr>
        <w:pStyle w:val="a5"/>
        <w:numPr>
          <w:ilvl w:val="0"/>
          <w:numId w:val="1"/>
        </w:numPr>
        <w:ind w:left="0" w:right="111" w:firstLine="360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  <w:r>
        <w:rPr>
          <w:rFonts w:ascii="Times New Roman" w:hAnsi="Times New Roman" w:cs="Times New Roman"/>
          <w:b/>
        </w:rPr>
        <w:t>Требования к техническим и функциональным характеристикам (потребительским свойствам) товара, размерам и иные сведения</w:t>
      </w:r>
    </w:p>
    <w:tbl>
      <w:tblPr>
        <w:tblW w:w="1020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01"/>
        <w:gridCol w:w="7184"/>
        <w:gridCol w:w="2415"/>
      </w:tblGrid>
      <w:tr w:rsidR="00BE6012" w:rsidTr="003865A6">
        <w:trPr>
          <w:cantSplit/>
          <w:trHeight w:val="141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Описание требований (функций, параметров)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Требуемое значение/ диапазон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Комплектность 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электрокардиографа с автономным питанием (аккумулятор/ батарейки) и кабелем отведений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1.2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Комплект электродов многоразовых на 12 отведений для взрослых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eastAsia="Arial Unicode MS" w:hAnsi="Times New Roman" w:cs="Times New Roman"/>
              </w:rPr>
              <w:t>1.3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Устройство связи с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кардиосервером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 xml:space="preserve">  - планшетный компьютер (ПК)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1.4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proofErr w:type="spellStart"/>
            <w:r>
              <w:rPr>
                <w:rFonts w:ascii="Times New Roman" w:eastAsia="Arial Unicode MS" w:hAnsi="Times New Roman" w:cs="Times New Roman"/>
                <w:lang w:val="en-US"/>
              </w:rPr>
              <w:t>Термопринтер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1.5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Защитный транспортировочный контейнер-чемодан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1.6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  <w:highlight w:val="cyan"/>
              </w:rPr>
            </w:pPr>
            <w:r>
              <w:rPr>
                <w:rFonts w:ascii="Times New Roman" w:eastAsia="Arial Unicode MS" w:hAnsi="Times New Roman" w:cs="Times New Roman"/>
              </w:rPr>
              <w:t>Программное обеспечение ПК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1.7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Программное обеспечение рабочего места врача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1.8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Программное обеспечение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локального</w:t>
            </w:r>
            <w:proofErr w:type="gramEnd"/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кардиосервера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Программное обеспечение облачного сервиса автоматической интерпретации ЭКГ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1.10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Комплект эксплуатационной документации на русском языке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Функциональные возможности электрокардиографа и ПК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Синхронный съем ЭКГ в 12 общепринятых отведениях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Автоматический контроль работоспособности электрокардиографа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Автоматический контроль качества наложения электродов</w:t>
            </w:r>
            <w:r>
              <w:rPr>
                <w:rFonts w:ascii="Times New Roman" w:hAnsi="Times New Roman" w:cs="Times New Roman"/>
                <w:highlight w:val="cyan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Автоматическая цифровая передача ЭКГ с электрокардиографа на ПК и печать ЭКГ на термопринтере через </w:t>
            </w:r>
            <w:proofErr w:type="gramStart"/>
            <w:r>
              <w:rPr>
                <w:rFonts w:ascii="Times New Roman" w:hAnsi="Times New Roman" w:cs="Times New Roman"/>
              </w:rPr>
              <w:t>беспроводной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интерфейс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Автоматическая цифровая передача ЭКГ с ПК на </w:t>
            </w:r>
            <w:proofErr w:type="spellStart"/>
            <w:r>
              <w:rPr>
                <w:rFonts w:ascii="Times New Roman" w:hAnsi="Times New Roman" w:cs="Times New Roman"/>
              </w:rPr>
              <w:t>кардиосервер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с </w:t>
            </w:r>
            <w:proofErr w:type="spellStart"/>
            <w:r>
              <w:rPr>
                <w:rFonts w:ascii="Times New Roman" w:hAnsi="Times New Roman" w:cs="Times New Roman"/>
              </w:rPr>
              <w:t>кардиосервера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визуализация на дисплее ПК результатов автоматической интерпретации ЭКГ и заключения врача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исследований в энергонезависимой памяти с возможностью повторного вызова исследований для просмотра и передачи на </w:t>
            </w:r>
            <w:proofErr w:type="spellStart"/>
            <w:r>
              <w:rPr>
                <w:rFonts w:ascii="Times New Roman" w:hAnsi="Times New Roman" w:cs="Times New Roman"/>
              </w:rPr>
              <w:t>кардиосервер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Безлимитное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количество лицензий программного обеспечения ПК и рабочего места врача – бесплатная загрузка и  его обновление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функционала </w:t>
            </w:r>
            <w:proofErr w:type="spellStart"/>
            <w:r>
              <w:rPr>
                <w:rFonts w:ascii="Times New Roman" w:hAnsi="Times New Roman" w:cs="Times New Roman"/>
              </w:rPr>
              <w:t>телекардиографии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Функциональные возможности программного обеспечения облачного сервиса автоматической интерпретации ЭКГ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Автоматическое измерение амплитудно-временных параметров ЭКГ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Автоматическое формирование ЭКГ-заключения по ритму и форме предсердно-желудочковых комплексов в терминах «норма-отклонение от </w:t>
            </w:r>
            <w:proofErr w:type="gramStart"/>
            <w:r>
              <w:rPr>
                <w:rFonts w:ascii="Times New Roman" w:hAnsi="Times New Roman" w:cs="Times New Roman"/>
              </w:rPr>
              <w:t>нормы-патология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Автоматическое формирование </w:t>
            </w:r>
            <w:proofErr w:type="spellStart"/>
            <w:r>
              <w:rPr>
                <w:rFonts w:ascii="Times New Roman" w:hAnsi="Times New Roman" w:cs="Times New Roman"/>
              </w:rPr>
              <w:t>синдромального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электрокардиографического заключения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4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tabs>
                <w:tab w:val="left" w:pos="107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Точность автоматических измерений ЭКГ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 соответствии с п. 50.101 ГОСТ </w:t>
            </w:r>
            <w:r>
              <w:rPr>
                <w:rFonts w:ascii="Times New Roman" w:hAnsi="Times New Roman" w:cs="Times New Roman"/>
                <w:b/>
                <w:lang w:val="en-US"/>
              </w:rPr>
              <w:t>IEC</w:t>
            </w:r>
            <w:r>
              <w:rPr>
                <w:rFonts w:ascii="Times New Roman" w:hAnsi="Times New Roman" w:cs="Times New Roman"/>
                <w:b/>
              </w:rPr>
              <w:t xml:space="preserve"> 60601-2-51-2011 для анализирующих электрокардиографов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</w:rPr>
              <w:t>5</w:t>
            </w:r>
          </w:p>
        </w:tc>
        <w:tc>
          <w:tcPr>
            <w:tcW w:w="9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характеристики телеэлектрокардиографа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входное сопротивление на частоте 10 Гц,  МОм   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50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5.2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Коэффициент ослабления синфазных сигналов, 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100000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5.3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Уровень внутренних шумов, приведённых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входу (размах), мкВ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более 20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5.4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</w:rPr>
              <w:t>Постоянная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времени, с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3,2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5.6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Постоянный ток в цепи пациента, мкА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более 0,1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5.7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Диапазон входных сигналов, мВ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не уже 0,03-10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5.8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входных цепей комплекса от воздействия импульсов дефибриллятора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5.9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Диагональ дисплея ПК</w:t>
            </w:r>
            <w:proofErr w:type="gramStart"/>
            <w:r>
              <w:rPr>
                <w:rFonts w:ascii="Times New Roman" w:hAnsi="Times New Roman" w:cs="Times New Roman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</w:rPr>
              <w:t>дюйм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5.10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Разрешение дисплея </w:t>
            </w:r>
            <w:proofErr w:type="spellStart"/>
            <w:r>
              <w:rPr>
                <w:rFonts w:ascii="Times New Roman" w:hAnsi="Times New Roman" w:cs="Times New Roman"/>
              </w:rPr>
              <w:t>ПК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иксель</w:t>
            </w:r>
            <w:proofErr w:type="spell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800х480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5.11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записи на термопринтере, мм/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25, 50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5.12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tabs>
                <w:tab w:val="left" w:pos="889"/>
              </w:tabs>
              <w:spacing w:after="0" w:line="240" w:lineRule="auto"/>
            </w:pPr>
            <w:r>
              <w:rPr>
                <w:rFonts w:ascii="Times New Roman" w:eastAsia="Arial Unicode MS" w:hAnsi="Times New Roman" w:cs="Times New Roman"/>
              </w:rPr>
              <w:t xml:space="preserve">Ширина бумаги термопринтера, </w:t>
            </w:r>
            <w:proofErr w:type="gramStart"/>
            <w:r>
              <w:rPr>
                <w:rFonts w:ascii="Times New Roman" w:eastAsia="Arial Unicode MS" w:hAnsi="Times New Roman" w:cs="Times New Roman"/>
              </w:rPr>
              <w:t>мм</w:t>
            </w:r>
            <w:proofErr w:type="gram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не менее </w:t>
            </w: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5.13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Ресурс работы от </w:t>
            </w:r>
            <w:proofErr w:type="spellStart"/>
            <w:r>
              <w:rPr>
                <w:rFonts w:ascii="Times New Roman" w:hAnsi="Times New Roman" w:cs="Times New Roman"/>
              </w:rPr>
              <w:t>свежезаряженного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автономного источника питания,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 xml:space="preserve"> не менее 6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5.14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Индикация заряда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5.15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Габаритные размеры корпуса электрокардиографа,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более 140 х 72 х 24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5.16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Масса электрокардиографа с элементами питания и отводящими жгутами,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более 0,3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5.17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Габаритные размеры электрокардиографа в контейнере-чемодане для переноски и хранения,, </w:t>
            </w:r>
            <w:proofErr w:type="gramStart"/>
            <w:r>
              <w:rPr>
                <w:rFonts w:ascii="Times New Roman" w:hAnsi="Times New Roman" w:cs="Times New Roman"/>
              </w:rPr>
              <w:t>мм</w:t>
            </w:r>
            <w:proofErr w:type="gram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более  400 х 310 х 150</w:t>
            </w:r>
          </w:p>
        </w:tc>
      </w:tr>
      <w:tr w:rsidR="00BE6012" w:rsidTr="003865A6">
        <w:trPr>
          <w:cantSplit/>
          <w:trHeight w:val="9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5.18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tabs>
                <w:tab w:val="left" w:pos="10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электрокардиографа в контейнере-чемодане для переноски и хранения,, </w:t>
            </w:r>
            <w:proofErr w:type="gramStart"/>
            <w:r>
              <w:rPr>
                <w:rFonts w:ascii="Times New Roman" w:hAnsi="Times New Roman" w:cs="Times New Roman"/>
              </w:rPr>
              <w:t>кг</w:t>
            </w:r>
            <w:proofErr w:type="gramEnd"/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не более 4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Функциональные возможности программного обеспечения рабочего места врача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Регистрация врачей и пациентов, ведение базы данных пациентов и обследований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Санкционированный доступ неограниченного числа врачей к ЭКГ, </w:t>
            </w:r>
            <w:proofErr w:type="gramStart"/>
            <w:r>
              <w:rPr>
                <w:sz w:val="22"/>
                <w:szCs w:val="22"/>
              </w:rPr>
              <w:t>находящимся</w:t>
            </w:r>
            <w:proofErr w:type="gram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Кардиосервере</w:t>
            </w:r>
            <w:proofErr w:type="spellEnd"/>
            <w:r>
              <w:rPr>
                <w:sz w:val="22"/>
                <w:szCs w:val="22"/>
              </w:rPr>
              <w:t>, с целью их расшифровки, а также организации многосторонних дистанционных консультаций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61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tabs>
                <w:tab w:val="left" w:pos="96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Визуализация результатов обработки снятой ЭКГ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 измерение элементов ЭКГ в интерактивном режиме на экране монитора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компьютерного заключения с сохранением в архиве врачебного заключения по ЭКГ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врачом индивидуального словаря шаблонов </w:t>
            </w:r>
            <w:proofErr w:type="spellStart"/>
            <w:r>
              <w:rPr>
                <w:rFonts w:ascii="Times New Roman" w:hAnsi="Times New Roman" w:cs="Times New Roman"/>
              </w:rPr>
              <w:t>синдромальных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заключений для упрощения (ускорения) процедуры корректировки результатов автоматической интерпретации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нескольких ЭКГ одного пациента в динамике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pStyle w:val="a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вариабельности сердечного ритма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сохранения ЭКГ в форматах </w:t>
            </w:r>
            <w:r>
              <w:rPr>
                <w:rFonts w:ascii="Times New Roman" w:hAnsi="Times New Roman" w:cs="Times New Roman"/>
                <w:lang w:val="en-US"/>
              </w:rPr>
              <w:t>PDF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JPG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Печать графиков ЭКГ в 12 отведениях, типичных</w:t>
            </w:r>
          </w:p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кардиоциклов</w:t>
            </w:r>
            <w:proofErr w:type="spellEnd"/>
            <w:r>
              <w:rPr>
                <w:rFonts w:ascii="Times New Roman" w:hAnsi="Times New Roman" w:cs="Times New Roman"/>
              </w:rPr>
              <w:t>, отведения ритма, значений параметров ЭКГ и заключения врача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0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Функциональные возможности программного обеспечения локального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кардиосервера</w:t>
            </w:r>
            <w:proofErr w:type="spellEnd"/>
          </w:p>
        </w:tc>
      </w:tr>
      <w:tr w:rsidR="00BE6012" w:rsidTr="003865A6">
        <w:trPr>
          <w:cantSplit/>
          <w:trHeight w:val="228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Автоматический прием ЭКГ от неограниченного числа пользователей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Централизованный электронный архив пациентов и обследований с санкционированным доступом при помощи подключенных по сети компьютеров неограниченного числа врачей со своих рабочих мест, расположенных внутри и за пределами медучреждения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Функции администрирования архивов, учётных записей врачей, управления доступом врачей к архивам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Функция настройки маршрутов для отправки обследований на консультацию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стандарта DICOM для интеграции с медицинскими информационными системами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Возможность размещения </w:t>
            </w:r>
            <w:proofErr w:type="spellStart"/>
            <w:r>
              <w:rPr>
                <w:rFonts w:ascii="Times New Roman" w:hAnsi="Times New Roman" w:cs="Times New Roman"/>
              </w:rPr>
              <w:t>кардиосервера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ведомственной защищенной сети передачи данных 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Дополнительные условия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Документация на русском языке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8.2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Декларация соответствия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Регистрационное удостоверение Росздравнадзора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Вся поставляемая аппаратура – новая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бывшая в эксплуатации, год выпуска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eastAsia="Arial Unicode MS" w:hAnsi="Times New Roman" w:cs="Times New Roman"/>
              </w:rPr>
              <w:t>не ранее 2017 года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Гарантийное обслуживание с момента ввода в эксплуатацию, месяцев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не менее 12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Доставка, </w:t>
            </w:r>
            <w:r>
              <w:rPr>
                <w:rFonts w:ascii="Times New Roman" w:hAnsi="Times New Roman" w:cs="Times New Roman"/>
                <w:bCs/>
              </w:rPr>
              <w:t>сборка, настройка, проверка работоспособности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Инструктаж (обучение) персонала Заказчика правилам и особенностям эксплуатации товара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интеграции с подсистемой  автоматизированной системой управления «Управление станцией скорой медицинской помощи» региональным сегментом Единой государственной информационной системой здравоохранения Воронежской области, согласно Приложению 1 к Техническому заданию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  <w:tr w:rsidR="00BE6012" w:rsidTr="003865A6">
        <w:trPr>
          <w:cantSplit/>
          <w:trHeight w:val="35"/>
        </w:trPr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80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pStyle w:val="a5"/>
              <w:numPr>
                <w:ilvl w:val="0"/>
                <w:numId w:val="2"/>
              </w:numPr>
              <w:ind w:left="0" w:right="11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интеграции с телефонией регионального сосудистого центра при БУЗ ВО ВОКБ №1, согласно Приложению 2 к Техническому заданию</w:t>
            </w:r>
          </w:p>
        </w:tc>
        <w:tc>
          <w:tcPr>
            <w:tcW w:w="1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E6012" w:rsidRDefault="00BE6012" w:rsidP="003865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</w:tr>
    </w:tbl>
    <w:p w:rsidR="00626C30" w:rsidRDefault="00626C30"/>
    <w:sectPr w:rsidR="00626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6411"/>
    <w:multiLevelType w:val="multilevel"/>
    <w:tmpl w:val="5AAAB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A0DE4"/>
    <w:multiLevelType w:val="multilevel"/>
    <w:tmpl w:val="4172133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12"/>
    <w:rsid w:val="00626C30"/>
    <w:rsid w:val="00B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12"/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601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E601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E6012"/>
    <w:pPr>
      <w:ind w:left="720"/>
    </w:pPr>
  </w:style>
  <w:style w:type="paragraph" w:customStyle="1" w:styleId="-2">
    <w:name w:val="Пункт-2"/>
    <w:basedOn w:val="a"/>
    <w:qFormat/>
    <w:rsid w:val="00BE6012"/>
    <w:pPr>
      <w:keepNext/>
      <w:tabs>
        <w:tab w:val="left" w:pos="450"/>
      </w:tabs>
      <w:suppressAutoHyphens/>
      <w:spacing w:before="240" w:after="120" w:line="240" w:lineRule="auto"/>
      <w:ind w:left="450" w:hanging="450"/>
      <w:outlineLvl w:val="2"/>
    </w:pPr>
    <w:rPr>
      <w:rFonts w:ascii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12"/>
    <w:rPr>
      <w:rFonts w:ascii="Calibri" w:eastAsia="Times New Roman" w:hAnsi="Calibri" w:cs="Calibri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601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E6012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E6012"/>
    <w:pPr>
      <w:ind w:left="720"/>
    </w:pPr>
  </w:style>
  <w:style w:type="paragraph" w:customStyle="1" w:styleId="-2">
    <w:name w:val="Пункт-2"/>
    <w:basedOn w:val="a"/>
    <w:qFormat/>
    <w:rsid w:val="00BE6012"/>
    <w:pPr>
      <w:keepNext/>
      <w:tabs>
        <w:tab w:val="left" w:pos="450"/>
      </w:tabs>
      <w:suppressAutoHyphens/>
      <w:spacing w:before="240" w:after="120" w:line="240" w:lineRule="auto"/>
      <w:ind w:left="450" w:hanging="450"/>
      <w:outlineLvl w:val="2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983</Words>
  <Characters>5605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Айко</dc:creator>
  <cp:lastModifiedBy>Айко</cp:lastModifiedBy>
  <cp:revision>1</cp:revision>
  <dcterms:created xsi:type="dcterms:W3CDTF">2018-05-26T15:08:00Z</dcterms:created>
  <dcterms:modified xsi:type="dcterms:W3CDTF">2018-05-26T15:09:00Z</dcterms:modified>
</cp:coreProperties>
</file>