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Гофрокартонная тара это – само сборные почтовые коробки для пересылки почтовых отправлений, изготавливаются из трехслойного гофрированного картона, бурого цвета. Цвет нанесения: Оранжевый, белый. Общие требования к гофрокартону "EMS Kazpost" EXPRESS:  Внутренние размеры коробок: 230*171*74 мм.</w:t>
      </w:r>
    </w:p>
    <w:p>
      <w:pPr>
        <w:pStyle w:val="Normal"/>
        <w:widowControl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1. Тара №1 изготавливаются из одного листа гофрированного картона.</w:t>
      </w:r>
    </w:p>
    <w:p>
      <w:pPr>
        <w:pStyle w:val="Normal"/>
        <w:widowControl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2. Фактура внешней стороны тары должна быть лощённая.</w:t>
      </w:r>
    </w:p>
    <w:p>
      <w:pPr>
        <w:pStyle w:val="Normal"/>
        <w:widowControl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3. Направление гофров картона должно быть параллельно высоте ящика.</w:t>
      </w:r>
    </w:p>
    <w:p>
      <w:pPr>
        <w:pStyle w:val="Normal"/>
        <w:widowControl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4. По боковым сторонам тары предусмотрены ребра жесткости.</w:t>
      </w:r>
    </w:p>
    <w:p>
      <w:pPr>
        <w:pStyle w:val="Normal"/>
        <w:widowControl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5. На развертке ящиков наносится линии рилевки (сгиба). Линии рилевки наносятся равномерно и четко по всей длине. Они должны быть взаимно перпендикулярными и обеспечивать формирование ящиков с заданными внутренними размерами.</w:t>
      </w:r>
    </w:p>
    <w:p>
      <w:pPr>
        <w:pStyle w:val="Normal"/>
        <w:widowControl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6. Клапана тары должны выдерживать не менее 10-ти двойных перегибов на 180 градусов без образования трещин.</w:t>
      </w:r>
    </w:p>
    <w:p>
      <w:pPr>
        <w:pStyle w:val="Normal"/>
        <w:widowControl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7. Толщина картона должна быть не менее 4 мм.</w:t>
      </w:r>
    </w:p>
    <w:p>
      <w:pPr>
        <w:pStyle w:val="Normal"/>
        <w:widowControl/>
        <w:ind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8. Гофрокартон должна изготавливаться  согласно дизайну указанному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666699"/>
          <w:spacing w:val="0"/>
          <w:sz w:val="20"/>
          <w:u w:val="none"/>
          <w:effect w:val="none"/>
          <w:bdr w:val="dotted" w:sz="2" w:space="1" w:color="000000"/>
        </w:rPr>
        <w:t>в приложении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№1а.</w:t>
      </w:r>
    </w:p>
    <w:p>
      <w:pPr>
        <w:pStyle w:val="Normal"/>
        <w:widowControl/>
        <w:ind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9. Требования к логотипу "EMS KAZPOST": Крыло оранжевого цвета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•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Буквы ЕМS голубого цвета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•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Три линии оранжевого цвета</w:t>
      </w:r>
    </w:p>
    <w:p>
      <w:pPr>
        <w:pStyle w:val="Normal"/>
        <w:widowControl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Специальное сочетание букв, разработанное для обозначения ЕМS, представляет основную торговую марку службы. Опознавательные знаки ЕМS составлены из шести линий. На логотипе эти шесть линий расположены также и на крыле с левой стороны. Три линии справа представляют собой графический элемент для усиления логотипа. Название службы всегда находится за буквами ЕМS.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•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Также как и буквы ЕМS, название службы указывается на основной линии.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•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По высоте название службы должно быть таким же как высота трех линий, расположенных над ним.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•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Для названия службы выбирается наклон аналогичный наклону букв ЕМS.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•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Используется тип шрифта «Univers».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•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Название службы выполняется в голубом цвете.</w:t>
      </w:r>
    </w:p>
    <w:p>
      <w:pPr>
        <w:pStyle w:val="Normal"/>
        <w:widowControl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Для нанесения логотипа ЕМS используются стандартные цвета: голубой и оранжевый. Стандартной системой, используемой в печатании для определения точного цвета для печати, является Pantone PMS. Голубой PMS-286, Оранжевый PMS-151.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10. Чертеж гофрированной тары изготовляется Поставщиком и согласовывается с Заказчиком.</w:t>
      </w:r>
    </w:p>
    <w:p>
      <w:pPr>
        <w:pStyle w:val="Normal"/>
        <w:widowControl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11. Для гофрокартонной тары "EMS KAZPOST" EXPRESS размеров № 1 необходимо нанести справа после букв EXPRESS пояснение для Клиентов на трех языках – государственном, русском и английском (приложение №2) для последующего наклеивания сопроводительной накладной Е-1 размером  (22см*14см).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324</Words>
  <Characters>2081</Characters>
  <CharactersWithSpaces>2390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2018-05-31T13:06:31Z</dcterms:created>
  <dc:creator/>
  <dc:description/>
  <dc:language>ru-RU</dc:language>
  <cp:lastModifiedBy/>
  <dcterms:modified xsi:type="dcterms:W3CDTF">2018-05-31T13:07:53Z</dcterms:modified>
  <cp:revision>1</cp:revision>
  <dc:subject/>
  <dc:title/>
</cp:coreProperties>
</file>