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4CD" w:rsidRPr="00F11A16" w:rsidRDefault="00BD04CD" w:rsidP="00F11A16">
      <w:pPr>
        <w:spacing w:line="240" w:lineRule="auto"/>
        <w:contextualSpacing/>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405"/>
        <w:gridCol w:w="6940"/>
      </w:tblGrid>
      <w:tr w:rsidR="00BD04CD" w:rsidRPr="00F11A16" w:rsidTr="00871396">
        <w:tc>
          <w:tcPr>
            <w:tcW w:w="2405"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Наименование и краткая характеристика</w:t>
            </w:r>
          </w:p>
        </w:tc>
        <w:tc>
          <w:tcPr>
            <w:tcW w:w="6940" w:type="dxa"/>
          </w:tcPr>
          <w:p w:rsidR="00BD04CD" w:rsidRPr="00F11A16" w:rsidRDefault="00F11A16"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Преобразователь частоты, электрический</w:t>
            </w:r>
          </w:p>
        </w:tc>
      </w:tr>
      <w:tr w:rsidR="00BD04CD" w:rsidRPr="00F11A16" w:rsidTr="00871396">
        <w:tc>
          <w:tcPr>
            <w:tcW w:w="2405"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Дополнительная характеристика</w:t>
            </w:r>
          </w:p>
        </w:tc>
        <w:tc>
          <w:tcPr>
            <w:tcW w:w="6940" w:type="dxa"/>
          </w:tcPr>
          <w:p w:rsidR="00BD04CD" w:rsidRPr="00F11A16" w:rsidRDefault="00F11A16"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Прочее: 12, КВ</w:t>
            </w:r>
          </w:p>
        </w:tc>
      </w:tr>
      <w:tr w:rsidR="00BD04CD" w:rsidRPr="00F11A16" w:rsidTr="00871396">
        <w:tc>
          <w:tcPr>
            <w:tcW w:w="2405"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Количество</w:t>
            </w:r>
          </w:p>
        </w:tc>
        <w:tc>
          <w:tcPr>
            <w:tcW w:w="6940" w:type="dxa"/>
          </w:tcPr>
          <w:p w:rsidR="00BD04CD" w:rsidRPr="00F11A16" w:rsidRDefault="00F57E86" w:rsidP="00F11A16">
            <w:pPr>
              <w:contextualSpacing/>
              <w:jc w:val="both"/>
              <w:rPr>
                <w:rFonts w:ascii="Times New Roman" w:hAnsi="Times New Roman" w:cs="Times New Roman"/>
                <w:sz w:val="28"/>
                <w:szCs w:val="28"/>
                <w:lang w:val="en-US"/>
              </w:rPr>
            </w:pPr>
            <w:r>
              <w:rPr>
                <w:rFonts w:ascii="Times New Roman" w:hAnsi="Times New Roman" w:cs="Times New Roman"/>
                <w:sz w:val="28"/>
                <w:szCs w:val="28"/>
              </w:rPr>
              <w:t>6</w:t>
            </w:r>
            <w:r w:rsidR="00F11A16" w:rsidRPr="00F11A16">
              <w:rPr>
                <w:rFonts w:ascii="Times New Roman" w:hAnsi="Times New Roman" w:cs="Times New Roman"/>
                <w:sz w:val="28"/>
                <w:szCs w:val="28"/>
                <w:lang w:val="en-US"/>
              </w:rPr>
              <w:t>4</w:t>
            </w:r>
          </w:p>
        </w:tc>
      </w:tr>
      <w:tr w:rsidR="00BD04CD" w:rsidRPr="00F11A16" w:rsidTr="00871396">
        <w:tc>
          <w:tcPr>
            <w:tcW w:w="2405"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Единица измерения</w:t>
            </w:r>
          </w:p>
        </w:tc>
        <w:tc>
          <w:tcPr>
            <w:tcW w:w="6940"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Штука</w:t>
            </w:r>
          </w:p>
        </w:tc>
      </w:tr>
      <w:tr w:rsidR="00BD04CD" w:rsidRPr="00F11A16" w:rsidTr="00871396">
        <w:tc>
          <w:tcPr>
            <w:tcW w:w="2405"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Место поставки</w:t>
            </w:r>
          </w:p>
        </w:tc>
        <w:tc>
          <w:tcPr>
            <w:tcW w:w="6940" w:type="dxa"/>
          </w:tcPr>
          <w:p w:rsidR="00BD04CD" w:rsidRPr="00F11A16" w:rsidRDefault="00BD04CD"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КАЗАХСТАН, Южно-Казахстанская область, Южно-Казахстанская область, Созакский р-он, поселок Таукент, ЦАПБ</w:t>
            </w:r>
          </w:p>
        </w:tc>
      </w:tr>
      <w:tr w:rsidR="00243F2B" w:rsidRPr="00F11A16" w:rsidTr="00243F2B">
        <w:tc>
          <w:tcPr>
            <w:tcW w:w="2405" w:type="dxa"/>
          </w:tcPr>
          <w:p w:rsidR="00243F2B" w:rsidRPr="00F11A16" w:rsidRDefault="00243F2B"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Условия поставки</w:t>
            </w:r>
          </w:p>
        </w:tc>
        <w:tc>
          <w:tcPr>
            <w:tcW w:w="6940" w:type="dxa"/>
          </w:tcPr>
          <w:p w:rsidR="00243F2B" w:rsidRPr="00F11A16" w:rsidRDefault="00243F2B" w:rsidP="00F11A16">
            <w:pPr>
              <w:contextualSpacing/>
              <w:jc w:val="both"/>
              <w:rPr>
                <w:rFonts w:ascii="Times New Roman" w:hAnsi="Times New Roman" w:cs="Times New Roman"/>
                <w:sz w:val="28"/>
                <w:szCs w:val="28"/>
              </w:rPr>
            </w:pPr>
            <w:r w:rsidRPr="00F11A16">
              <w:rPr>
                <w:rFonts w:ascii="Times New Roman" w:hAnsi="Times New Roman" w:cs="Times New Roman"/>
                <w:sz w:val="28"/>
                <w:szCs w:val="28"/>
              </w:rPr>
              <w:t>DDP</w:t>
            </w:r>
          </w:p>
        </w:tc>
      </w:tr>
    </w:tbl>
    <w:p w:rsidR="00997F60" w:rsidRPr="00F11A16" w:rsidRDefault="00997F60" w:rsidP="00F11A16">
      <w:pPr>
        <w:spacing w:line="240" w:lineRule="auto"/>
        <w:ind w:firstLine="567"/>
        <w:contextualSpacing/>
        <w:jc w:val="both"/>
        <w:rPr>
          <w:rFonts w:ascii="Times New Roman" w:hAnsi="Times New Roman" w:cs="Times New Roman"/>
          <w:sz w:val="28"/>
          <w:szCs w:val="28"/>
        </w:rPr>
      </w:pPr>
    </w:p>
    <w:p w:rsidR="00BD04CD" w:rsidRPr="00F11A16" w:rsidRDefault="00BD04CD" w:rsidP="00F11A16">
      <w:pPr>
        <w:spacing w:line="240" w:lineRule="auto"/>
        <w:ind w:firstLine="567"/>
        <w:contextualSpacing/>
        <w:jc w:val="both"/>
        <w:rPr>
          <w:rFonts w:ascii="Times New Roman" w:hAnsi="Times New Roman" w:cs="Times New Roman"/>
          <w:b/>
          <w:sz w:val="28"/>
          <w:szCs w:val="28"/>
        </w:rPr>
      </w:pPr>
      <w:r w:rsidRPr="00F11A16">
        <w:rPr>
          <w:rFonts w:ascii="Times New Roman" w:hAnsi="Times New Roman" w:cs="Times New Roman"/>
          <w:b/>
          <w:sz w:val="28"/>
          <w:szCs w:val="28"/>
        </w:rPr>
        <w:t xml:space="preserve">Описание и требуемые функциональные, технические, качественные и эксплуатационные характеристики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Преобразователь Частоты</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 Диапазон мощностей 11 кВт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Номинальные напряжение и частота</w:t>
      </w:r>
      <w:r>
        <w:rPr>
          <w:rFonts w:ascii="Times New Roman" w:hAnsi="Times New Roman" w:cs="Times New Roman"/>
          <w:sz w:val="28"/>
          <w:szCs w:val="28"/>
        </w:rPr>
        <w:t xml:space="preserve"> </w:t>
      </w:r>
      <w:r w:rsidRPr="00F11A16">
        <w:rPr>
          <w:rFonts w:ascii="Times New Roman" w:hAnsi="Times New Roman" w:cs="Times New Roman"/>
          <w:sz w:val="28"/>
          <w:szCs w:val="28"/>
        </w:rPr>
        <w:t xml:space="preserve">не менее 200 В, 50 Гц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Метод управления Вольт-частотный (U/f), вольт-частотный с обратной связью(U/</w:t>
      </w:r>
      <w:proofErr w:type="spellStart"/>
      <w:r w:rsidRPr="00F11A16">
        <w:rPr>
          <w:rFonts w:ascii="Times New Roman" w:hAnsi="Times New Roman" w:cs="Times New Roman"/>
          <w:sz w:val="28"/>
          <w:szCs w:val="28"/>
        </w:rPr>
        <w:t>f+PG</w:t>
      </w:r>
      <w:proofErr w:type="spellEnd"/>
      <w:r w:rsidRPr="00F11A16">
        <w:rPr>
          <w:rFonts w:ascii="Times New Roman" w:hAnsi="Times New Roman" w:cs="Times New Roman"/>
          <w:sz w:val="28"/>
          <w:szCs w:val="28"/>
        </w:rPr>
        <w:t xml:space="preserve">), векторный с обратной связью (VC+PG)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Перегрузочная способность по току не менее F:120% в течение одной минуты, не менее 150% в течение 0,1 с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Точность регулирования не менее 0,5 % - векторный режим без датчика; не менее 0,05% - векторный режим с датчиком</w:t>
      </w:r>
    </w:p>
    <w:p w:rsidR="00BD04CD"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 Глубина регулирования не менее 1:100 (векторный режим без датчика); не менее 1:1000 (векторный режим с датчиком)</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Входные сигналы: Источник команды запуска Встроенный пульт/клеммы управления/последовательный интерфейс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Источник задания частоты не менее 11 способов задания, включая сигнал потенциометра встроенного пульта, сигналы 0...+10V, 0...20 мА, 4...20 мА.</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 Команды запуска </w:t>
      </w:r>
      <w:proofErr w:type="gramStart"/>
      <w:r w:rsidRPr="00F11A16">
        <w:rPr>
          <w:rFonts w:ascii="Times New Roman" w:hAnsi="Times New Roman" w:cs="Times New Roman"/>
          <w:sz w:val="28"/>
          <w:szCs w:val="28"/>
        </w:rPr>
        <w:t>Вперед</w:t>
      </w:r>
      <w:proofErr w:type="gramEnd"/>
      <w:r w:rsidRPr="00F11A16">
        <w:rPr>
          <w:rFonts w:ascii="Times New Roman" w:hAnsi="Times New Roman" w:cs="Times New Roman"/>
          <w:sz w:val="28"/>
          <w:szCs w:val="28"/>
        </w:rPr>
        <w:t xml:space="preserve">, назад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Многоскоростной режим не менее 7 значений частоты (величина назначается от входных клемм или по заданной программе)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Многоступенчатое ускорение не менее 8 значений ускорения (величина назначается от входных клемм или по заданной программе)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Мгновенное прекращение подачи напряжения на выходные клеммы </w:t>
      </w:r>
      <w:proofErr w:type="gramStart"/>
      <w:r w:rsidRPr="00F11A16">
        <w:rPr>
          <w:rFonts w:ascii="Times New Roman" w:hAnsi="Times New Roman" w:cs="Times New Roman"/>
          <w:sz w:val="28"/>
          <w:szCs w:val="28"/>
        </w:rPr>
        <w:t>Полностью</w:t>
      </w:r>
      <w:proofErr w:type="gramEnd"/>
      <w:r w:rsidRPr="00F11A16">
        <w:rPr>
          <w:rFonts w:ascii="Times New Roman" w:hAnsi="Times New Roman" w:cs="Times New Roman"/>
          <w:sz w:val="28"/>
          <w:szCs w:val="28"/>
        </w:rPr>
        <w:t xml:space="preserve"> настраиваемый траверсный режим для приводов намоточных устройств Тестовое движение Вращение на малой частоте Авто</w:t>
      </w:r>
      <w:r w:rsidR="008A081E">
        <w:rPr>
          <w:rFonts w:ascii="Times New Roman" w:hAnsi="Times New Roman" w:cs="Times New Roman"/>
          <w:sz w:val="28"/>
          <w:szCs w:val="28"/>
        </w:rPr>
        <w:t xml:space="preserve"> </w:t>
      </w:r>
      <w:r w:rsidRPr="00F11A16">
        <w:rPr>
          <w:rFonts w:ascii="Times New Roman" w:hAnsi="Times New Roman" w:cs="Times New Roman"/>
          <w:sz w:val="28"/>
          <w:szCs w:val="28"/>
        </w:rPr>
        <w:t xml:space="preserve">сброс аварии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При активации функции преобразователь частоты автоматически сбрасывает состояние аварии Сигнал обратной связи ПИД-регулятора0...+10 В, +1...+5 В, 0...20 мА, 4...20 мА</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 Управление по з</w:t>
      </w:r>
      <w:bookmarkStart w:id="0" w:name="_GoBack"/>
      <w:bookmarkEnd w:id="0"/>
      <w:r w:rsidRPr="00F11A16">
        <w:rPr>
          <w:rFonts w:ascii="Times New Roman" w:hAnsi="Times New Roman" w:cs="Times New Roman"/>
          <w:sz w:val="28"/>
          <w:szCs w:val="28"/>
        </w:rPr>
        <w:t xml:space="preserve">аданной программе не менее 7 последовательных режимов, время работы не менее 88 часов U/f-кривые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 xml:space="preserve">Линейная, квадратичная, задаваемая пользователем по 8 точкам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lastRenderedPageBreak/>
        <w:t xml:space="preserve">Автоматический поиск частоты вращения перед запуском двигателя </w:t>
      </w:r>
    </w:p>
    <w:p w:rsidR="00F11A16" w:rsidRPr="00F11A16" w:rsidRDefault="00F11A16" w:rsidP="00F11A16">
      <w:pPr>
        <w:spacing w:line="240" w:lineRule="auto"/>
        <w:ind w:firstLine="567"/>
        <w:contextualSpacing/>
        <w:jc w:val="both"/>
        <w:rPr>
          <w:rFonts w:ascii="Times New Roman" w:hAnsi="Times New Roman" w:cs="Times New Roman"/>
          <w:sz w:val="28"/>
          <w:szCs w:val="28"/>
        </w:rPr>
      </w:pPr>
      <w:r w:rsidRPr="00F11A16">
        <w:rPr>
          <w:rFonts w:ascii="Times New Roman" w:hAnsi="Times New Roman" w:cs="Times New Roman"/>
          <w:sz w:val="28"/>
          <w:szCs w:val="28"/>
        </w:rPr>
        <w:t>Факторы защиты Повышенное напряжение, пониженное напряжение, перегрузка по току, перегрузка по моменту, перегрев, перегрузка по току при пуске, перегрузка по напряжению при пуске, потеря фазы (опционально), внешний сигнал ошибки, потеря связи, недопустимый сигнал обратной связи, потеря сигнала энкодера.</w:t>
      </w:r>
    </w:p>
    <w:sectPr w:rsidR="00F11A16" w:rsidRPr="00F11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4CD"/>
    <w:rsid w:val="00243F2B"/>
    <w:rsid w:val="008A081E"/>
    <w:rsid w:val="00997F60"/>
    <w:rsid w:val="00BD04CD"/>
    <w:rsid w:val="00F11A16"/>
    <w:rsid w:val="00F57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79B0"/>
  <w15:chartTrackingRefBased/>
  <w15:docId w15:val="{7FDBFDAC-ADDA-4272-8FAA-32242D4D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04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ainura070895@gmail.com</dc:creator>
  <cp:keywords/>
  <dc:description/>
  <cp:lastModifiedBy>ainura070895@gmail.com</cp:lastModifiedBy>
  <cp:revision>4</cp:revision>
  <dcterms:created xsi:type="dcterms:W3CDTF">2018-06-18T04:18:00Z</dcterms:created>
  <dcterms:modified xsi:type="dcterms:W3CDTF">2018-06-18T04:46:00Z</dcterms:modified>
</cp:coreProperties>
</file>