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Nikon 70-200mm f/2.8G ED VR II AF-S Nikkor&lt;br/&gt;Тип объектива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теле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Система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Nikon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Характеристики</w:t>
        <w:tab/>
        <w:t xml:space="preserve"> 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Фокусное расстояние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переменное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Фокусное расстояние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70 - 200 мм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Светосила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f/2.8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Углы обзора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34° 20' - 12° 20'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Минимальная диафрагма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22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Минимальная дистанция фокусировки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1.4 м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Конструкция</w:t>
        <w:tab/>
        <w:t xml:space="preserve"> 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Байонет (крепление)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Nikon F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Размер матрицы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full frame/APS-C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Привод автофокусировки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ультразвуковой мотор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Стабилизация изображения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+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Конструкция (элементов/групп)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21 элемент в 16 группах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Кол-во лепестков диафрагмы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9 / скругленные /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Диаметр фильтра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77 мм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Габариты (диаметр/длина)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87x209 мм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Вес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1540 г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