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widowControl/>
        <w:spacing w:lineRule="auto" w:line="264" w:before="118" w:after="0"/>
        <w:jc w:val="both"/>
        <w:rPr/>
      </w:pPr>
      <w:r>
        <w:rPr/>
        <w:t>1.       Термопара бескорпусная ТПП(S)-021-0,5/0,4 (длина 0,4 м) - 5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 xml:space="preserve">2.       </w:t>
      </w:r>
      <w:bookmarkStart w:id="0" w:name="__DdeLink__5_1399924026"/>
      <w:r>
        <w:rPr/>
        <w:t>Трубка одноканальная мкр</w:t>
      </w:r>
      <w:bookmarkEnd w:id="0"/>
      <w:r>
        <w:rPr/>
        <w:t xml:space="preserve"> 6*4*600 мм – 20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3.       Трубка одноканальная мкр 20*10*400 мм – 4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4.       Регулятор температуры программный «ТермоМатик ТМ100Р1 – 1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5.       Модуль тиристорный оптотиристорный МО1-80-12 – 2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6.       Вентилятор 1,0ЭВ-1,4-4-327ОУ4 – 1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7.       Конденсатор К-75-10 0,5 мкФ – 4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8.       Конденсатор К-75-10 0,1 мкФ – 4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9.       Конечный выключатель ВП15-21А211-54 У2.3 – 1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10.   Варистор MXS 20751 (или аналог) – 5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11.   Сопротивление  50 Ом 1,0 Вт – 4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12.   Сопротивление  620 Ом 0,125 Вт – 4 шт</w:t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</w:r>
    </w:p>
    <w:p>
      <w:pPr>
        <w:pStyle w:val="Style31"/>
        <w:widowControl/>
        <w:spacing w:lineRule="auto" w:line="264" w:before="118" w:after="0"/>
        <w:jc w:val="both"/>
        <w:rPr/>
      </w:pPr>
      <w:r>
        <w:rPr/>
        <w:t>13.   RC – цепочка  1 кОм 0,0022мФ – 2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LibreOffice/5.1.6.2$Linux_X86_64 LibreOffice_project/10m0$Build-2</Application>
  <Pages>1</Pages>
  <Words>99</Words>
  <Characters>496</Characters>
  <CharactersWithSpaces>660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2018-09-05T15:49:10Z</dcterms:modified>
  <cp:revision>124</cp:revision>
  <dc:subject/>
  <dc:title/>
</cp:coreProperties>
</file>