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426" w:leader="none"/>
          <w:tab w:val="center" w:pos="4677" w:leader="none"/>
        </w:tabs>
        <w:spacing w:lineRule="auto" w:line="240" w:before="0" w:after="0"/>
        <w:ind w:left="426" w:hanging="0"/>
        <w:jc w:val="center"/>
        <w:rPr>
          <w:rFonts w:ascii="Times New Roman" w:hAnsi="Times New Roman" w:eastAsia="Gungsuh" w:cs="Times New Roman"/>
          <w:sz w:val="32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spacing w:lineRule="auto" w:line="240" w:before="0" w:after="0"/>
        <w:ind w:left="1418" w:hanging="0"/>
        <w:jc w:val="center"/>
        <w:rPr>
          <w:b/>
          <w:b/>
          <w:sz w:val="28"/>
          <w:szCs w:val="32"/>
        </w:rPr>
      </w:pPr>
      <w:r>
        <w:rPr>
          <w:rFonts w:cs="Times New Roman"/>
          <w:b/>
          <w:sz w:val="28"/>
          <w:szCs w:val="32"/>
        </w:rPr>
        <w:t>ООО «Компания Тесей», заинтересовано в приобретении тракторного прицепа роспуска.</w:t>
      </w:r>
    </w:p>
    <w:p>
      <w:pPr>
        <w:pStyle w:val="Normal"/>
        <w:spacing w:lineRule="auto" w:line="240" w:before="0" w:after="0"/>
        <w:ind w:left="1418" w:hanging="0"/>
        <w:jc w:val="center"/>
        <w:rPr>
          <w:b/>
          <w:b/>
          <w:sz w:val="28"/>
          <w:szCs w:val="32"/>
        </w:rPr>
      </w:pPr>
      <w:r>
        <w:rPr>
          <w:b/>
          <w:sz w:val="28"/>
          <w:szCs w:val="32"/>
        </w:rPr>
      </w:r>
    </w:p>
    <w:tbl>
      <w:tblPr>
        <w:tblStyle w:val="a4"/>
        <w:tblW w:w="5000" w:type="pct"/>
        <w:jc w:val="left"/>
        <w:tblInd w:w="-113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170"/>
        <w:gridCol w:w="4513"/>
        <w:gridCol w:w="3102"/>
        <w:gridCol w:w="1709"/>
        <w:gridCol w:w="1957"/>
      </w:tblGrid>
      <w:tr>
        <w:trPr/>
        <w:tc>
          <w:tcPr>
            <w:tcW w:w="4170" w:type="dxa"/>
            <w:tcBorders/>
            <w:shd w:color="auto" w:fill="D99594" w:themeFill="accent2" w:themeFillTint="99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Наименование продукции</w:t>
            </w:r>
          </w:p>
        </w:tc>
        <w:tc>
          <w:tcPr>
            <w:tcW w:w="4513" w:type="dxa"/>
            <w:tcBorders/>
            <w:shd w:color="auto" w:fill="D99594" w:themeFill="accent2" w:themeFillTint="99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Назначение</w:t>
            </w:r>
          </w:p>
        </w:tc>
        <w:tc>
          <w:tcPr>
            <w:tcW w:w="3102" w:type="dxa"/>
            <w:tcBorders/>
            <w:shd w:color="auto" w:fill="D99594" w:themeFill="accent2" w:themeFillTint="99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Год выпуска </w:t>
            </w:r>
          </w:p>
        </w:tc>
        <w:tc>
          <w:tcPr>
            <w:tcW w:w="1709" w:type="dxa"/>
            <w:tcBorders/>
            <w:shd w:color="auto" w:fill="D99594" w:themeFill="accent2" w:themeFillTint="99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1957" w:type="dxa"/>
            <w:tcBorders/>
            <w:shd w:color="auto" w:fill="D99594" w:themeFill="accent2" w:themeFillTint="99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Количество</w:t>
            </w:r>
          </w:p>
        </w:tc>
      </w:tr>
      <w:tr>
        <w:trPr>
          <w:trHeight w:val="335" w:hRule="atLeast"/>
        </w:trPr>
        <w:tc>
          <w:tcPr>
            <w:tcW w:w="417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Прицеп роспуск тракторный</w:t>
            </w:r>
          </w:p>
        </w:tc>
        <w:tc>
          <w:tcPr>
            <w:tcW w:w="451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bookmarkStart w:id="0" w:name="__DdeLink__299_1914160892"/>
            <w:bookmarkEnd w:id="0"/>
            <w:r>
              <w:rPr/>
              <w:t>Для перевозки опор</w:t>
            </w:r>
          </w:p>
        </w:tc>
        <w:tc>
          <w:tcPr>
            <w:tcW w:w="310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Не ранее 2017 г.в.</w:t>
            </w:r>
          </w:p>
        </w:tc>
        <w:tc>
          <w:tcPr>
            <w:tcW w:w="170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шт</w:t>
            </w:r>
          </w:p>
        </w:tc>
        <w:tc>
          <w:tcPr>
            <w:tcW w:w="195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</w:t>
            </w:r>
          </w:p>
        </w:tc>
      </w:tr>
    </w:tbl>
    <w:p>
      <w:pPr>
        <w:pStyle w:val="ListParagraph"/>
        <w:spacing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ind w:left="142" w:hanging="0"/>
        <w:jc w:val="center"/>
        <w:rPr>
          <w:b/>
          <w:b/>
          <w:sz w:val="24"/>
        </w:rPr>
      </w:pPr>
      <w:r>
        <w:rPr>
          <w:b/>
          <w:sz w:val="24"/>
        </w:rPr>
        <w:t>Технические характеристики</w:t>
      </w:r>
    </w:p>
    <w:tbl>
      <w:tblPr>
        <w:tblW w:w="50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6066"/>
        <w:gridCol w:w="9384"/>
      </w:tblGrid>
      <w:tr>
        <w:trPr>
          <w:cantSplit w:val="true"/>
        </w:trPr>
        <w:tc>
          <w:tcPr>
            <w:tcW w:w="6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Колесная формула / ведущие колеса</w:t>
            </w:r>
          </w:p>
        </w:tc>
        <w:tc>
          <w:tcPr>
            <w:tcW w:w="9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/>
            </w:pPr>
            <w:r>
              <w:rPr/>
              <w:t>4/2</w:t>
            </w:r>
          </w:p>
        </w:tc>
      </w:tr>
      <w:tr>
        <w:trPr>
          <w:cantSplit w:val="true"/>
        </w:trPr>
        <w:tc>
          <w:tcPr>
            <w:tcW w:w="6066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Назначение транспортного средства</w:t>
            </w:r>
          </w:p>
        </w:tc>
        <w:tc>
          <w:tcPr>
            <w:tcW w:w="93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>
                <w:color w:val="000000"/>
              </w:rPr>
            </w:pPr>
            <w:r>
              <w:rPr>
                <w:bCs/>
              </w:rPr>
              <w:t xml:space="preserve">транспортировка </w:t>
            </w:r>
            <w:r>
              <w:rPr/>
              <w:t>опор линий электропередач</w:t>
            </w:r>
          </w:p>
        </w:tc>
      </w:tr>
      <w:tr>
        <w:trPr>
          <w:trHeight w:val="217" w:hRule="atLeast"/>
          <w:cantSplit w:val="true"/>
        </w:trPr>
        <w:tc>
          <w:tcPr>
            <w:tcW w:w="6066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Исполнение загрузочного пространства</w:t>
            </w:r>
          </w:p>
        </w:tc>
        <w:tc>
          <w:tcPr>
            <w:tcW w:w="93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/>
            </w:pPr>
            <w:r>
              <w:rPr/>
              <w:t>рама с двумя кониками (телескопическими)</w:t>
            </w:r>
          </w:p>
        </w:tc>
      </w:tr>
      <w:tr>
        <w:trPr>
          <w:cantSplit w:val="true"/>
        </w:trPr>
        <w:tc>
          <w:tcPr>
            <w:tcW w:w="6066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Грузоподъемность, рабочая/ максимально допустимая, тн</w:t>
            </w:r>
          </w:p>
        </w:tc>
        <w:tc>
          <w:tcPr>
            <w:tcW w:w="93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/>
            </w:pPr>
            <w:r>
              <w:rPr/>
              <w:t xml:space="preserve">Не менее 3,0/4,5  </w:t>
            </w:r>
          </w:p>
        </w:tc>
      </w:tr>
      <w:tr>
        <w:trPr>
          <w:cantSplit w:val="true"/>
        </w:trPr>
        <w:tc>
          <w:tcPr>
            <w:tcW w:w="154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9594" w:themeFill="accent2" w:themeFillTint="99" w:val="clear"/>
            <w:tcMar>
              <w:left w:w="65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Габаритные размеры, мм</w:t>
            </w:r>
          </w:p>
        </w:tc>
      </w:tr>
      <w:tr>
        <w:trPr>
          <w:trHeight w:val="353" w:hRule="atLeast"/>
          <w:cantSplit w:val="true"/>
        </w:trPr>
        <w:tc>
          <w:tcPr>
            <w:tcW w:w="6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Длина, мин/макс</w:t>
            </w:r>
          </w:p>
        </w:tc>
        <w:tc>
          <w:tcPr>
            <w:tcW w:w="9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/>
            </w:pPr>
            <w:r>
              <w:rPr/>
              <w:t>Не более 7300/</w:t>
            </w:r>
          </w:p>
          <w:p>
            <w:pPr>
              <w:pStyle w:val="NoSpacing"/>
              <w:rPr/>
            </w:pPr>
            <w:r>
              <w:rPr/>
              <w:t>Не менее 11575</w:t>
            </w:r>
          </w:p>
        </w:tc>
      </w:tr>
      <w:tr>
        <w:trPr>
          <w:cantSplit w:val="true"/>
        </w:trPr>
        <w:tc>
          <w:tcPr>
            <w:tcW w:w="6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ширина</w:t>
            </w:r>
          </w:p>
        </w:tc>
        <w:tc>
          <w:tcPr>
            <w:tcW w:w="9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/>
            </w:pPr>
            <w:r>
              <w:rPr/>
              <w:t>Не более 2135</w:t>
            </w:r>
          </w:p>
        </w:tc>
      </w:tr>
      <w:tr>
        <w:trPr>
          <w:cantSplit w:val="true"/>
        </w:trPr>
        <w:tc>
          <w:tcPr>
            <w:tcW w:w="6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высота</w:t>
            </w:r>
          </w:p>
        </w:tc>
        <w:tc>
          <w:tcPr>
            <w:tcW w:w="9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>
                <w:highlight w:val="white"/>
              </w:rPr>
            </w:pPr>
            <w:r>
              <w:rPr/>
              <w:t>Не менее 1570</w:t>
            </w:r>
          </w:p>
        </w:tc>
      </w:tr>
      <w:tr>
        <w:trPr>
          <w:cantSplit w:val="true"/>
        </w:trPr>
        <w:tc>
          <w:tcPr>
            <w:tcW w:w="6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Подвеска</w:t>
            </w:r>
          </w:p>
        </w:tc>
        <w:tc>
          <w:tcPr>
            <w:tcW w:w="9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>
                <w:color w:val="000000"/>
              </w:rPr>
            </w:pPr>
            <w:r>
              <w:rPr>
                <w:color w:val="000000"/>
              </w:rPr>
              <w:t>листовая рессорная</w:t>
            </w:r>
          </w:p>
        </w:tc>
      </w:tr>
      <w:tr>
        <w:trPr>
          <w:cantSplit w:val="true"/>
        </w:trPr>
        <w:tc>
          <w:tcPr>
            <w:tcW w:w="6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Система торможения</w:t>
            </w:r>
          </w:p>
        </w:tc>
        <w:tc>
          <w:tcPr>
            <w:tcW w:w="9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Spacing"/>
              <w:rPr>
                <w:color w:val="000000"/>
              </w:rPr>
            </w:pPr>
            <w:r>
              <w:rPr/>
              <w:t>пневматическая однопроводная от трактора, механический стояночный тормоз на передние колеса</w:t>
            </w:r>
          </w:p>
        </w:tc>
      </w:tr>
    </w:tbl>
    <w:p>
      <w:pPr>
        <w:pStyle w:val="NoSpacing"/>
        <w:rPr>
          <w:b/>
          <w:b/>
          <w:sz w:val="28"/>
          <w:u w:val="single"/>
        </w:rPr>
      </w:pPr>
      <w:r>
        <w:rPr>
          <w:b/>
          <w:sz w:val="28"/>
          <w:u w:val="single"/>
        </w:rPr>
        <w:t>Опции:</w:t>
      </w:r>
    </w:p>
    <w:p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Страховочная цепь  с 2-х сторон </w:t>
      </w:r>
    </w:p>
    <w:p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Утяжка коников для фиксации опор</w:t>
      </w:r>
    </w:p>
    <w:p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Откидные коники, прорезиненные ложементы</w:t>
      </w:r>
    </w:p>
    <w:p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Стяжной ремень для фиксации опор на прицепе</w:t>
      </w:r>
    </w:p>
    <w:p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Телескопическое пошаговое раздвижение</w:t>
      </w:r>
    </w:p>
    <w:p>
      <w:pPr>
        <w:pStyle w:val="ListParagraph"/>
        <w:numPr>
          <w:ilvl w:val="0"/>
          <w:numId w:val="1"/>
        </w:numPr>
        <w:overflowPunct w:val="true"/>
        <w:spacing w:lineRule="auto" w:line="240" w:before="0" w:after="0"/>
        <w:rPr>
          <w:bCs/>
          <w:sz w:val="28"/>
          <w:szCs w:val="24"/>
        </w:rPr>
      </w:pPr>
      <w:r>
        <w:rPr>
          <w:bCs/>
          <w:sz w:val="24"/>
        </w:rPr>
        <w:t>Противооткатные упоры</w:t>
      </w:r>
    </w:p>
    <w:p>
      <w:pPr>
        <w:pStyle w:val="Normal"/>
        <w:overflowPunct w:val="true"/>
        <w:rPr>
          <w:b/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Комплектация:</w:t>
      </w:r>
    </w:p>
    <w:p>
      <w:pPr>
        <w:pStyle w:val="NoSpacing"/>
        <w:rPr>
          <w:b/>
          <w:b/>
          <w:color w:val="FF0000"/>
          <w:sz w:val="24"/>
          <w:u w:val="single"/>
        </w:rPr>
      </w:pPr>
      <w:r>
        <w:rPr>
          <w:b/>
          <w:color w:val="FF0000"/>
          <w:sz w:val="24"/>
          <w:u w:val="single"/>
        </w:rPr>
        <w:t>Комплект документации на русском языке:</w:t>
      </w:r>
    </w:p>
    <w:p>
      <w:pPr>
        <w:pStyle w:val="NoSpacing"/>
        <w:numPr>
          <w:ilvl w:val="0"/>
          <w:numId w:val="2"/>
        </w:numPr>
        <w:rPr>
          <w:rFonts w:ascii="Times New Roman" w:hAnsi="Times New Roman"/>
          <w:b/>
          <w:b/>
          <w:color w:val="FF0000"/>
          <w:szCs w:val="20"/>
          <w:u w:val="single"/>
        </w:rPr>
      </w:pPr>
      <w:r>
        <w:rPr>
          <w:rFonts w:ascii="Times New Roman" w:hAnsi="Times New Roman"/>
          <w:b/>
          <w:color w:val="FF0000"/>
          <w:szCs w:val="20"/>
          <w:u w:val="single"/>
        </w:rPr>
        <w:t xml:space="preserve">Инструкция (руководство) по эксплуатации (В руководстве по эксплуатации ссылки должны быть на нормативные документы, действующие на территории РФ. Недопустимы ссылки на нормативные документы, не действующие на территории РФ); </w:t>
      </w:r>
    </w:p>
    <w:p>
      <w:pPr>
        <w:pStyle w:val="NoSpacing"/>
        <w:numPr>
          <w:ilvl w:val="0"/>
          <w:numId w:val="2"/>
        </w:numPr>
        <w:rPr>
          <w:b/>
          <w:b/>
          <w:color w:val="FF0000"/>
          <w:sz w:val="24"/>
          <w:u w:val="single"/>
        </w:rPr>
      </w:pPr>
      <w:r>
        <w:rPr>
          <w:rFonts w:eastAsia="Calibri"/>
          <w:b/>
          <w:color w:val="FF0000"/>
          <w:sz w:val="24"/>
          <w:u w:val="single"/>
        </w:rPr>
        <w:t>Паспорт самоходной машины (ПСМ);</w:t>
      </w:r>
    </w:p>
    <w:p>
      <w:pPr>
        <w:pStyle w:val="NoSpacing"/>
        <w:numPr>
          <w:ilvl w:val="0"/>
          <w:numId w:val="2"/>
        </w:numPr>
        <w:rPr>
          <w:b/>
          <w:b/>
          <w:color w:val="FF0000"/>
          <w:sz w:val="24"/>
          <w:u w:val="single"/>
        </w:rPr>
      </w:pPr>
      <w:r>
        <w:rPr>
          <w:b/>
          <w:color w:val="FF0000"/>
          <w:sz w:val="24"/>
          <w:u w:val="single"/>
        </w:rPr>
        <w:t>Сертификат соответствия техническому регламенту таможенного союза «О безопасности сельскохозяйственных и лесохозяйственных тракторов и прицепов к ним» ТР ТС 031/2012 (заверенная копия) (или ОТТС в соответствии с ТР ТС); – предоставляется при подаче заявки;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i/>
          <w:i/>
          <w:u w:val="single"/>
        </w:rPr>
      </w:pPr>
      <w:r>
        <w:rPr>
          <w:b/>
        </w:rPr>
        <w:t>Срок поставки продукции</w:t>
      </w:r>
      <w:r>
        <w:rPr/>
        <w:t xml:space="preserve">: </w:t>
      </w:r>
      <w:r>
        <w:rPr>
          <w:i/>
          <w:u w:val="single"/>
        </w:rPr>
        <w:t xml:space="preserve">35 календарных дней с момента подписания договора поставки, возможна досрочная поставка </w:t>
      </w:r>
      <w:r>
        <w:rPr>
          <w:i/>
        </w:rPr>
        <w:t xml:space="preserve"> </w:t>
      </w:r>
    </w:p>
    <w:p>
      <w:pPr>
        <w:pStyle w:val="Normal"/>
        <w:jc w:val="both"/>
        <w:rPr>
          <w:i/>
          <w:i/>
          <w:u w:val="single"/>
        </w:rPr>
      </w:pPr>
      <w:r>
        <w:rPr>
          <w:b/>
        </w:rPr>
        <w:t>Гарантийные обязательства:</w:t>
      </w:r>
      <w:r>
        <w:rPr/>
        <w:t>12 месяцев с момента поставки без ограничения пробега.</w:t>
      </w:r>
    </w:p>
    <w:p>
      <w:pPr>
        <w:pStyle w:val="Normal"/>
        <w:spacing w:lineRule="auto" w:line="240" w:before="0" w:after="0"/>
        <w:ind w:right="565" w:hanging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Просим Вас сообщить возможность поставки указанной продукции и направить коммерческое предложение с указанием: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стоимости продукции;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- стоимость доставки до: </w:t>
      </w:r>
      <w:r>
        <w:rPr>
          <w:rFonts w:eastAsia="Times New Roman" w:cs="Times New Roman" w:ascii="Times New Roman" w:hAnsi="Times New Roman"/>
          <w:b/>
          <w:sz w:val="24"/>
          <w:szCs w:val="24"/>
          <w:u w:val="dotted"/>
        </w:rPr>
        <w:t>г. Братск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срока поставки, с момента размещения заказа.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Также, для обеспечения взаимовыгодных условий сотрудничества просим Вас, по возможности, предоставить минимальную цену поставки.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Start w:id="2" w:name="_GoBack"/>
      <w:bookmarkEnd w:id="2"/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уважением,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Директор ООО «Компания Тесей»</w:t>
        <w:tab/>
        <w:tab/>
        <w:tab/>
        <w:tab/>
        <w:tab/>
        <w:tab/>
        <w:t xml:space="preserve">                                                                  Ф.В. Еремин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>
        <w:rPr/>
      </w:r>
    </w:p>
    <w:sectPr>
      <w:type w:val="nextPage"/>
      <w:pgSz w:orient="landscape" w:w="16838" w:h="11906"/>
      <w:pgMar w:left="567" w:right="820" w:header="0" w:top="426" w:footer="0" w:bottom="28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667ac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ru-RU" w:eastAsia="ru-RU" w:bidi="ar-SA"/>
    </w:rPr>
  </w:style>
  <w:style w:type="paragraph" w:styleId="1">
    <w:name w:val="Heading 1"/>
    <w:basedOn w:val="Normal"/>
    <w:link w:val="10"/>
    <w:qFormat/>
    <w:rsid w:val="00294f9d"/>
    <w:pPr>
      <w:keepNext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  <w:lang w:val="x-none" w:eastAsia="en-US"/>
    </w:rPr>
  </w:style>
  <w:style w:type="paragraph" w:styleId="2">
    <w:name w:val="Heading 2"/>
    <w:basedOn w:val="Normal"/>
    <w:link w:val="20"/>
    <w:uiPriority w:val="9"/>
    <w:semiHidden/>
    <w:unhideWhenUsed/>
    <w:qFormat/>
    <w:rsid w:val="00294f9d"/>
    <w:pPr>
      <w:keepNext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4">
    <w:name w:val="Heading 4"/>
    <w:basedOn w:val="Normal"/>
    <w:link w:val="40"/>
    <w:qFormat/>
    <w:rsid w:val="00fe72ba"/>
    <w:pPr>
      <w:keepNext/>
      <w:spacing w:lineRule="auto" w:line="360" w:before="0" w:after="0"/>
      <w:outlineLvl w:val="3"/>
    </w:pPr>
    <w:rPr>
      <w:rFonts w:ascii="Times New Roman" w:hAnsi="Times New Roman" w:eastAsia="Times New Roman" w:cs="Times New Roman"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>
    <w:name w:val="Интернет-ссылка"/>
    <w:basedOn w:val="DefaultParagraphFont"/>
    <w:uiPriority w:val="99"/>
    <w:unhideWhenUsed/>
    <w:rsid w:val="00bd6aa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a211d"/>
    <w:rPr>
      <w:b/>
      <w:bCs/>
    </w:rPr>
  </w:style>
  <w:style w:type="character" w:styleId="Style12" w:customStyle="1">
    <w:name w:val="Заголовок Знак"/>
    <w:basedOn w:val="DefaultParagraphFont"/>
    <w:link w:val="a9"/>
    <w:qFormat/>
    <w:rsid w:val="00fe72ba"/>
    <w:rPr>
      <w:rFonts w:ascii="Arial" w:hAnsi="Arial" w:eastAsia="Times New Roman" w:cs="Arial"/>
      <w:b/>
      <w:bCs/>
      <w:sz w:val="28"/>
      <w:szCs w:val="24"/>
    </w:rPr>
  </w:style>
  <w:style w:type="character" w:styleId="41" w:customStyle="1">
    <w:name w:val="Заголовок 4 Знак"/>
    <w:basedOn w:val="DefaultParagraphFont"/>
    <w:link w:val="4"/>
    <w:qFormat/>
    <w:rsid w:val="00fe72ba"/>
    <w:rPr>
      <w:rFonts w:ascii="Times New Roman" w:hAnsi="Times New Roman" w:eastAsia="Times New Roman" w:cs="Times New Roman"/>
      <w:sz w:val="28"/>
      <w:szCs w:val="20"/>
    </w:rPr>
  </w:style>
  <w:style w:type="character" w:styleId="Style13" w:customStyle="1">
    <w:name w:val="Нижний колонтитул Знак"/>
    <w:basedOn w:val="DefaultParagraphFont"/>
    <w:link w:val="ab"/>
    <w:uiPriority w:val="99"/>
    <w:qFormat/>
    <w:rsid w:val="00fe72ba"/>
    <w:rPr>
      <w:rFonts w:ascii="Times New Roman" w:hAnsi="Times New Roman" w:eastAsia="Times New Roman" w:cs="Times New Roman"/>
      <w:sz w:val="20"/>
      <w:szCs w:val="20"/>
    </w:rPr>
  </w:style>
  <w:style w:type="character" w:styleId="Text" w:customStyle="1">
    <w:name w:val="text"/>
    <w:qFormat/>
    <w:rsid w:val="00707b21"/>
    <w:rPr/>
  </w:style>
  <w:style w:type="character" w:styleId="Bodytext3" w:customStyle="1">
    <w:name w:val="Body text (3)_"/>
    <w:link w:val="Bodytext30"/>
    <w:qFormat/>
    <w:rsid w:val="00086493"/>
    <w:rPr>
      <w:rFonts w:ascii="Times New Roman" w:hAnsi="Times New Roman" w:eastAsia="Times New Roman"/>
      <w:shd w:fill="FFFFFF" w:val="clear"/>
    </w:rPr>
  </w:style>
  <w:style w:type="character" w:styleId="Bodytext2" w:customStyle="1">
    <w:name w:val="Body text (2)_"/>
    <w:link w:val="Bodytext20"/>
    <w:qFormat/>
    <w:rsid w:val="00e66448"/>
    <w:rPr>
      <w:rFonts w:ascii="Times New Roman" w:hAnsi="Times New Roman" w:eastAsia="Times New Roman"/>
      <w:shd w:fill="FFFFFF" w:val="clear"/>
    </w:rPr>
  </w:style>
  <w:style w:type="character" w:styleId="Word" w:customStyle="1">
    <w:name w:val="word"/>
    <w:basedOn w:val="DefaultParagraphFont"/>
    <w:qFormat/>
    <w:rsid w:val="00ca7d27"/>
    <w:rPr/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294f9d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11" w:customStyle="1">
    <w:name w:val="Заголовок 1 Знак"/>
    <w:basedOn w:val="DefaultParagraphFont"/>
    <w:link w:val="1"/>
    <w:qFormat/>
    <w:rsid w:val="00294f9d"/>
    <w:rPr>
      <w:rFonts w:ascii="Cambria" w:hAnsi="Cambria" w:eastAsia="Times New Roman" w:cs="Times New Roman"/>
      <w:b/>
      <w:bCs/>
      <w:sz w:val="32"/>
      <w:szCs w:val="32"/>
      <w:lang w:val="x-none" w:eastAsia="en-US"/>
    </w:rPr>
  </w:style>
  <w:style w:type="character" w:styleId="Style14" w:customStyle="1">
    <w:name w:val="Абзац списка Знак"/>
    <w:link w:val="a7"/>
    <w:uiPriority w:val="34"/>
    <w:qFormat/>
    <w:locked/>
    <w:rsid w:val="00432ad6"/>
    <w:rPr/>
  </w:style>
  <w:style w:type="character" w:styleId="ListLabel1">
    <w:name w:val="ListLabel 1"/>
    <w:qFormat/>
    <w:rPr>
      <w:b w:val="false"/>
    </w:rPr>
  </w:style>
  <w:style w:type="character" w:styleId="ListLabel2">
    <w:name w:val="ListLabel 2"/>
    <w:qFormat/>
    <w:rPr>
      <w:b w:val="false"/>
    </w:rPr>
  </w:style>
  <w:style w:type="character" w:styleId="ListLabel3">
    <w:name w:val="ListLabel 3"/>
    <w:qFormat/>
    <w:rPr>
      <w:b w:val="false"/>
    </w:rPr>
  </w:style>
  <w:style w:type="character" w:styleId="ListLabel4">
    <w:name w:val="ListLabel 4"/>
    <w:qFormat/>
    <w:rPr>
      <w:b w:val="false"/>
      <w:position w:val="0"/>
      <w:sz w:val="22"/>
      <w:vertAlign w:val="baseline"/>
    </w:rPr>
  </w:style>
  <w:style w:type="character" w:styleId="ListLabel5">
    <w:name w:val="ListLabel 5"/>
    <w:qFormat/>
    <w:rPr>
      <w:b w:val="false"/>
      <w:position w:val="0"/>
      <w:sz w:val="22"/>
      <w:vertAlign w:val="baseline"/>
    </w:rPr>
  </w:style>
  <w:style w:type="character" w:styleId="ListLabel6">
    <w:name w:val="ListLabel 6"/>
    <w:qFormat/>
    <w:rPr>
      <w:b w:val="false"/>
      <w:position w:val="0"/>
      <w:sz w:val="22"/>
      <w:vertAlign w:val="baseline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u w:val="none"/>
    </w:rPr>
  </w:style>
  <w:style w:type="character" w:styleId="ListLabel14">
    <w:name w:val="ListLabel 14"/>
    <w:qFormat/>
    <w:rPr>
      <w:b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color w:val="00000A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eastAsia="Times New Roman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sz w:val="28"/>
      <w:szCs w:val="28"/>
    </w:rPr>
  </w:style>
  <w:style w:type="character" w:styleId="ListLabel69">
    <w:name w:val="ListLabel 69"/>
    <w:qFormat/>
    <w:rPr>
      <w:sz w:val="28"/>
      <w:szCs w:val="28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Courier New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Courier New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eastAsia="Calibri"/>
      <w:b/>
      <w:color w:val="000000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Courier New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Courier New"/>
    </w:rPr>
  </w:style>
  <w:style w:type="character" w:styleId="ListLabel98">
    <w:name w:val="ListLabel 98"/>
    <w:qFormat/>
    <w:rPr>
      <w:rFonts w:cs="Courier New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Courier New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Courier New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Courier New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Courier New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Courier New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Courier New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Courier New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OpenSymbol"/>
    </w:rPr>
  </w:style>
  <w:style w:type="character" w:styleId="ListLabel122">
    <w:name w:val="ListLabel 122"/>
    <w:qFormat/>
    <w:rPr>
      <w:rFonts w:cs="Open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Courier New"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Courier New"/>
    </w:rPr>
  </w:style>
  <w:style w:type="character" w:styleId="ListLabel129">
    <w:name w:val="ListLabel 129"/>
    <w:qFormat/>
    <w:rPr>
      <w:rFonts w:cs="Courier New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Courier New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86511d"/>
    <w:pPr>
      <w:widowControl/>
      <w:bidi w:val="0"/>
      <w:spacing w:lineRule="auto" w:line="240" w:before="0" w:after="0"/>
      <w:jc w:val="left"/>
    </w:pPr>
    <w:rPr>
      <w:rFonts w:eastAsia="Calibri" w:eastAsiaTheme="minorHAnsi" w:ascii="Calibri" w:hAnsi="Calibri" w:cs=""/>
      <w:color w:val="auto"/>
      <w:sz w:val="22"/>
      <w:szCs w:val="22"/>
      <w:lang w:eastAsia="en-US" w:val="ru-RU" w:bidi="ar-SA"/>
    </w:rPr>
  </w:style>
  <w:style w:type="paragraph" w:styleId="12" w:customStyle="1">
    <w:name w:val="Без интервала1"/>
    <w:uiPriority w:val="99"/>
    <w:qFormat/>
    <w:rsid w:val="002f2cf1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sz w:val="22"/>
      <w:szCs w:val="22"/>
      <w:lang w:eastAsia="en-US" w:val="ru-RU" w:bidi="ar-SA"/>
    </w:rPr>
  </w:style>
  <w:style w:type="paragraph" w:styleId="ListParagraph">
    <w:name w:val="List Paragraph"/>
    <w:basedOn w:val="Normal"/>
    <w:link w:val="a8"/>
    <w:uiPriority w:val="34"/>
    <w:qFormat/>
    <w:rsid w:val="004f1e8c"/>
    <w:pPr>
      <w:spacing w:before="0" w:after="200"/>
      <w:ind w:left="720" w:hanging="0"/>
      <w:contextualSpacing/>
    </w:pPr>
    <w:rPr/>
  </w:style>
  <w:style w:type="paragraph" w:styleId="Style20">
    <w:name w:val="Title"/>
    <w:basedOn w:val="Normal"/>
    <w:link w:val="aa"/>
    <w:qFormat/>
    <w:rsid w:val="00fe72ba"/>
    <w:pPr>
      <w:spacing w:lineRule="auto" w:line="240" w:before="0" w:after="0"/>
      <w:jc w:val="center"/>
    </w:pPr>
    <w:rPr>
      <w:rFonts w:ascii="Arial" w:hAnsi="Arial" w:eastAsia="Times New Roman" w:cs="Arial"/>
      <w:b/>
      <w:bCs/>
      <w:sz w:val="28"/>
      <w:szCs w:val="24"/>
    </w:rPr>
  </w:style>
  <w:style w:type="paragraph" w:styleId="Style21">
    <w:name w:val="Footer"/>
    <w:basedOn w:val="Normal"/>
    <w:link w:val="ac"/>
    <w:uiPriority w:val="99"/>
    <w:rsid w:val="00fe72ba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BlockText">
    <w:name w:val="Block Text"/>
    <w:basedOn w:val="Normal"/>
    <w:qFormat/>
    <w:rsid w:val="00fe72ba"/>
    <w:pPr>
      <w:overflowPunct w:val="true"/>
      <w:spacing w:lineRule="auto" w:line="240" w:before="0" w:after="0"/>
      <w:ind w:left="426" w:right="141" w:firstLine="142"/>
      <w:jc w:val="both"/>
    </w:pPr>
    <w:rPr>
      <w:rFonts w:ascii="Arial" w:hAnsi="Arial" w:eastAsia="Times New Roman" w:cs="Times New Roman"/>
      <w:szCs w:val="20"/>
      <w:lang w:eastAsia="ar-SA"/>
    </w:rPr>
  </w:style>
  <w:style w:type="paragraph" w:styleId="Bodytext31" w:customStyle="1">
    <w:name w:val="Body text (3)"/>
    <w:basedOn w:val="Normal"/>
    <w:link w:val="Bodytext3"/>
    <w:qFormat/>
    <w:rsid w:val="00086493"/>
    <w:pPr>
      <w:widowControl w:val="false"/>
      <w:shd w:val="clear" w:color="auto" w:fill="FFFFFF"/>
      <w:spacing w:lineRule="exact" w:line="315" w:before="0" w:after="300"/>
      <w:jc w:val="center"/>
    </w:pPr>
    <w:rPr>
      <w:rFonts w:ascii="Times New Roman" w:hAnsi="Times New Roman" w:eastAsia="Times New Roman"/>
      <w:b/>
      <w:bCs/>
    </w:rPr>
  </w:style>
  <w:style w:type="paragraph" w:styleId="Bodytext21" w:customStyle="1">
    <w:name w:val="Body text (2)"/>
    <w:basedOn w:val="Normal"/>
    <w:link w:val="Bodytext2"/>
    <w:qFormat/>
    <w:rsid w:val="00e66448"/>
    <w:pPr>
      <w:widowControl w:val="false"/>
      <w:shd w:val="clear" w:color="auto" w:fill="FFFFFF"/>
      <w:spacing w:lineRule="exact" w:line="255" w:before="60" w:after="0"/>
    </w:pPr>
    <w:rPr>
      <w:rFonts w:ascii="Times New Roman" w:hAnsi="Times New Roman" w:eastAsia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d6a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A341A-6C13-45A5-838F-AEBCF9256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Application>LibreOffice/5.1.6.2$Linux_X86_64 LibreOffice_project/10m0$Build-2</Application>
  <Pages>2</Pages>
  <Words>274</Words>
  <Characters>1880</Characters>
  <CharactersWithSpaces>2172</CharactersWithSpaces>
  <Paragraphs>53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2018-08-09T05:40:00Z</dcterms:created>
  <dc:creator>User</dc:creator>
  <dc:description/>
  <dc:language>ru-RU</dc:language>
  <cp:lastModifiedBy/>
  <dcterms:modified xsi:type="dcterms:W3CDTF">2019-01-24T12:35:29Z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