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ind w:left="0" w:right="0" w:hanging="0"/>
        <w:rPr>
          <w:rFonts w:ascii="Arial;sans-serif" w:hAnsi="Arial;sans-serif"/>
          <w:b w:val="false"/>
          <w:i/>
          <w:caps w:val="false"/>
          <w:smallCaps w:val="false"/>
          <w:color w:val="000000"/>
          <w:spacing w:val="0"/>
          <w:sz w:val="24"/>
        </w:rPr>
      </w:pPr>
      <w:r>
        <w:rPr>
          <w:rFonts w:ascii="Arial;sans-serif" w:hAnsi="Arial;sans-serif"/>
          <w:b w:val="false"/>
          <w:i/>
          <w:caps w:val="false"/>
          <w:smallCaps w:val="false"/>
          <w:color w:val="000000"/>
          <w:spacing w:val="0"/>
          <w:sz w:val="24"/>
        </w:rPr>
        <w:t>Добрый день! Прошу прислать предложение на поставку следующей продукции:</w:t>
      </w:r>
    </w:p>
    <w:tbl>
      <w:tblPr>
        <w:tblW w:w="9638" w:type="dxa"/>
        <w:jc w:val="lef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98" w:type="dxa"/>
          <w:bottom w:w="28" w:type="dxa"/>
          <w:right w:w="108" w:type="dxa"/>
        </w:tblCellMar>
      </w:tblPr>
      <w:tblGrid>
        <w:gridCol w:w="494"/>
        <w:gridCol w:w="5898"/>
        <w:gridCol w:w="1025"/>
        <w:gridCol w:w="900"/>
        <w:gridCol w:w="1295"/>
        <w:gridCol w:w="26"/>
      </w:tblGrid>
      <w:tr>
        <w:trPr>
          <w:trHeight w:val="585" w:hRule="atLeast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left w:w="98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4</w:t>
            </w:r>
          </w:p>
        </w:tc>
        <w:tc>
          <w:tcPr>
            <w:tcW w:w="58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Кабель силовой гибкий с медными многопроволочными жилами, в изоляции и оболочке из негорючего ПВХ пластиката с низким выделением дыма КГВВнг(А)-LS 4х25мк(PE)-1кВ ТУ 3500-077-21059747-2011 (ГОСТ 31996-2012)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м</w:t>
            </w:r>
          </w:p>
        </w:tc>
        <w:tc>
          <w:tcPr>
            <w:tcW w:w="129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26</w:t>
            </w:r>
          </w:p>
        </w:tc>
        <w:tc>
          <w:tcPr>
            <w:tcW w:w="2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690" w:hRule="atLeast"/>
        </w:trPr>
        <w:tc>
          <w:tcPr>
            <w:tcW w:w="49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left w:w="98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98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lef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2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lef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lef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lef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630" w:hRule="atLeast"/>
        </w:trPr>
        <w:tc>
          <w:tcPr>
            <w:tcW w:w="49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left w:w="98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98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lef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2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lef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lef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lef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525" w:hRule="atLeast"/>
        </w:trPr>
        <w:tc>
          <w:tcPr>
            <w:tcW w:w="49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5</w:t>
            </w:r>
          </w:p>
        </w:tc>
        <w:tc>
          <w:tcPr>
            <w:tcW w:w="5898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Кабель силовой гибкий с медными многопроволочными жилами, в изоляции и оболочке из негорючего ПВХ пластиката с низким выделением дыма КГВВнг(А)-LS 5х16мк(PE)-1кВ ТУ 3500-077-21059747-2011 (ГОСТ 31996-2012)</w:t>
            </w:r>
          </w:p>
        </w:tc>
        <w:tc>
          <w:tcPr>
            <w:tcW w:w="1025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м</w:t>
            </w:r>
          </w:p>
        </w:tc>
        <w:tc>
          <w:tcPr>
            <w:tcW w:w="1295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20</w:t>
            </w:r>
          </w:p>
        </w:tc>
        <w:tc>
          <w:tcPr>
            <w:tcW w:w="2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95" w:hRule="atLeast"/>
        </w:trPr>
        <w:tc>
          <w:tcPr>
            <w:tcW w:w="49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98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25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5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trHeight w:val="495" w:hRule="atLeast"/>
        </w:trPr>
        <w:tc>
          <w:tcPr>
            <w:tcW w:w="49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898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25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0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5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9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Style15"/>
        <w:spacing w:lineRule="auto" w:line="288"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altName w:val="sans-serif"/>
    <w:charset w:val="01"/>
    <w:family w:val="auto"/>
    <w:pitch w:val="default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65</Words>
  <Characters>434</Characters>
  <CharactersWithSpaces>493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2019-01-28T16:00:46Z</dcterms:created>
  <dc:creator/>
  <dc:description/>
  <dc:language>ru-RU</dc:language>
  <cp:lastModifiedBy/>
  <dcterms:modified xsi:type="dcterms:W3CDTF">2019-01-28T16:01:12Z</dcterms:modified>
  <cp:revision>1</cp:revision>
  <dc:subject/>
  <dc:title/>
</cp:coreProperties>
</file>