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C4" w:rsidRPr="006C7B7D" w:rsidRDefault="00281EC4" w:rsidP="00281EC4">
      <w:pPr>
        <w:jc w:val="center"/>
        <w:rPr>
          <w:b/>
        </w:rPr>
      </w:pPr>
      <w:r>
        <w:rPr>
          <w:b/>
        </w:rPr>
        <w:t xml:space="preserve">ТЕХНИЧЕСКОЕ </w:t>
      </w:r>
      <w:r w:rsidRPr="006C7B7D">
        <w:rPr>
          <w:b/>
        </w:rPr>
        <w:t>ЗАДАНИЕ НА ЗАКУПКУ</w:t>
      </w:r>
    </w:p>
    <w:p w:rsidR="00281EC4" w:rsidRPr="006C7B7D" w:rsidRDefault="00281EC4" w:rsidP="00281EC4">
      <w:pPr>
        <w:jc w:val="center"/>
        <w:rPr>
          <w:b/>
          <w:color w:val="FF0000"/>
        </w:rPr>
      </w:pPr>
      <w:r w:rsidRPr="006C7B7D">
        <w:rPr>
          <w:b/>
        </w:rPr>
        <w:t xml:space="preserve">На изделие </w:t>
      </w:r>
    </w:p>
    <w:p w:rsidR="00281EC4" w:rsidRPr="006C7B7D" w:rsidRDefault="00281EC4" w:rsidP="00281EC4"/>
    <w:p w:rsidR="00281EC4" w:rsidRPr="006C7B7D" w:rsidRDefault="00281EC4" w:rsidP="00281EC4">
      <w:pPr>
        <w:jc w:val="center"/>
        <w:rPr>
          <w:b/>
        </w:rPr>
      </w:pPr>
      <w:r w:rsidRPr="006C7B7D">
        <w:rPr>
          <w:b/>
        </w:rPr>
        <w:t xml:space="preserve"> «</w:t>
      </w:r>
      <w:r>
        <w:rPr>
          <w:b/>
        </w:rPr>
        <w:t xml:space="preserve">Поршневой насос для транспортировки буровых шламов и отходов </w:t>
      </w:r>
      <w:proofErr w:type="gramStart"/>
      <w:r>
        <w:rPr>
          <w:b/>
        </w:rPr>
        <w:t xml:space="preserve">бурения </w:t>
      </w:r>
      <w:r w:rsidRPr="006C7B7D">
        <w:rPr>
          <w:b/>
        </w:rPr>
        <w:t>»</w:t>
      </w:r>
      <w:proofErr w:type="gramEnd"/>
      <w:r w:rsidRPr="00683565">
        <w:rPr>
          <w:b/>
        </w:rPr>
        <w:t>.</w:t>
      </w:r>
    </w:p>
    <w:p w:rsidR="000319AA" w:rsidRPr="00435107" w:rsidRDefault="000319AA" w:rsidP="000319AA">
      <w:pPr>
        <w:pStyle w:val="a4"/>
        <w:jc w:val="center"/>
        <w:rPr>
          <w:rFonts w:ascii="Times New Roman" w:hAnsi="Times New Roman"/>
          <w:b/>
          <w:i/>
          <w:color w:val="auto"/>
          <w:szCs w:val="28"/>
        </w:rPr>
      </w:pPr>
      <w:r w:rsidRPr="00435107">
        <w:rPr>
          <w:rFonts w:ascii="Times New Roman" w:hAnsi="Times New Roman"/>
          <w:b/>
          <w:i/>
          <w:color w:val="auto"/>
          <w:szCs w:val="28"/>
        </w:rPr>
        <w:t>Оглавление</w:t>
      </w:r>
    </w:p>
    <w:p w:rsidR="000319AA" w:rsidRPr="008F0398" w:rsidRDefault="000319AA" w:rsidP="000319AA">
      <w:pPr>
        <w:pStyle w:val="11"/>
        <w:rPr>
          <w:rFonts w:ascii="Calibri" w:hAnsi="Calibri"/>
          <w:b w:val="0"/>
          <w:kern w:val="0"/>
          <w:sz w:val="22"/>
          <w:szCs w:val="22"/>
          <w:lang w:eastAsia="ru-RU" w:bidi="ar-SA"/>
        </w:rPr>
      </w:pPr>
      <w:r w:rsidRPr="006C7B7D">
        <w:fldChar w:fldCharType="begin"/>
      </w:r>
      <w:r w:rsidRPr="006C7B7D">
        <w:instrText xml:space="preserve"> TOC \o "1-3" \h \z \u </w:instrText>
      </w:r>
      <w:r w:rsidRPr="006C7B7D">
        <w:fldChar w:fldCharType="separate"/>
      </w:r>
      <w:hyperlink w:anchor="_Toc21878958" w:history="1">
        <w:r w:rsidRPr="00A470FB">
          <w:rPr>
            <w:rStyle w:val="a3"/>
            <w:rFonts w:eastAsiaTheme="majorEastAsia"/>
          </w:rPr>
          <w:t>1. ОБЩИЕ СВЕДЕНИЯ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_Toc21878958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319AA" w:rsidRPr="008F0398" w:rsidRDefault="000319AA" w:rsidP="000319AA">
      <w:pPr>
        <w:pStyle w:val="11"/>
        <w:rPr>
          <w:rFonts w:ascii="Calibri" w:hAnsi="Calibri"/>
          <w:b w:val="0"/>
          <w:kern w:val="0"/>
          <w:sz w:val="22"/>
          <w:szCs w:val="22"/>
          <w:lang w:eastAsia="ru-RU" w:bidi="ar-SA"/>
        </w:rPr>
      </w:pPr>
      <w:hyperlink w:anchor="_Toc21878959" w:history="1">
        <w:r w:rsidRPr="00A470FB">
          <w:rPr>
            <w:rStyle w:val="a3"/>
            <w:rFonts w:eastAsiaTheme="majorEastAsia"/>
          </w:rPr>
          <w:t>2. МЕТЕОРОЛОГИЧЕСКАЯ И КЛИМАТИЧЕСКАЯ ХАРАКТЕРИСТИКА РАЙОНА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_Toc21878959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319AA" w:rsidRPr="008F0398" w:rsidRDefault="000319AA" w:rsidP="000319AA">
      <w:pPr>
        <w:pStyle w:val="11"/>
        <w:rPr>
          <w:rFonts w:ascii="Calibri" w:hAnsi="Calibri"/>
          <w:b w:val="0"/>
          <w:kern w:val="0"/>
          <w:sz w:val="22"/>
          <w:szCs w:val="22"/>
          <w:lang w:eastAsia="ru-RU" w:bidi="ar-SA"/>
        </w:rPr>
      </w:pPr>
      <w:hyperlink w:anchor="_Toc21878960" w:history="1">
        <w:r w:rsidRPr="00A470FB">
          <w:rPr>
            <w:rStyle w:val="a3"/>
            <w:rFonts w:eastAsiaTheme="majorEastAsia"/>
          </w:rPr>
          <w:t>3. РАЗМЕЩЕНИЕ ИЗДЕЛИЯ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_Toc21878960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319AA" w:rsidRPr="008F0398" w:rsidRDefault="000319AA" w:rsidP="000319AA">
      <w:pPr>
        <w:pStyle w:val="11"/>
        <w:rPr>
          <w:rFonts w:ascii="Calibri" w:hAnsi="Calibri"/>
          <w:b w:val="0"/>
          <w:kern w:val="0"/>
          <w:sz w:val="22"/>
          <w:szCs w:val="22"/>
          <w:lang w:eastAsia="ru-RU" w:bidi="ar-SA"/>
        </w:rPr>
      </w:pPr>
      <w:hyperlink w:anchor="_Toc21878961" w:history="1">
        <w:r w:rsidRPr="00A470FB">
          <w:rPr>
            <w:rStyle w:val="a3"/>
            <w:rFonts w:eastAsiaTheme="majorEastAsia"/>
          </w:rPr>
          <w:t>4. НАЗНАЧЕНИЕ ИЗДЕЛИЯ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_Toc21878961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319AA" w:rsidRPr="008F0398" w:rsidRDefault="000319AA" w:rsidP="000319AA">
      <w:pPr>
        <w:pStyle w:val="11"/>
        <w:rPr>
          <w:rFonts w:ascii="Calibri" w:hAnsi="Calibri"/>
          <w:b w:val="0"/>
          <w:kern w:val="0"/>
          <w:sz w:val="22"/>
          <w:szCs w:val="22"/>
          <w:lang w:eastAsia="ru-RU" w:bidi="ar-SA"/>
        </w:rPr>
      </w:pPr>
      <w:hyperlink w:anchor="_Toc21878962" w:history="1">
        <w:r w:rsidRPr="00A470FB">
          <w:rPr>
            <w:rStyle w:val="a3"/>
            <w:rFonts w:eastAsiaTheme="majorEastAsia"/>
          </w:rPr>
          <w:t>5. ТЕ</w:t>
        </w:r>
        <w:r>
          <w:rPr>
            <w:rStyle w:val="a3"/>
            <w:rFonts w:eastAsiaTheme="majorEastAsia"/>
          </w:rPr>
          <w:t>ХНИЧЕСКИЕ ТРЕБОВАНИЯ К ИЗДЕЛИЮ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_Toc21878962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319AA" w:rsidRPr="006C7B7D" w:rsidRDefault="000319AA" w:rsidP="000319AA">
      <w:pPr>
        <w:widowControl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b/>
          <w:bCs/>
        </w:rPr>
      </w:pPr>
      <w:r w:rsidRPr="006C7B7D">
        <w:rPr>
          <w:bCs/>
        </w:rPr>
        <w:fldChar w:fldCharType="end"/>
      </w:r>
      <w:r w:rsidRPr="000319AA">
        <w:rPr>
          <w:b/>
          <w:bCs/>
        </w:rPr>
        <w:t xml:space="preserve"> </w:t>
      </w:r>
      <w:r w:rsidRPr="006C7B7D">
        <w:rPr>
          <w:b/>
          <w:bCs/>
        </w:rPr>
        <w:t>Обозначения и сокращения</w:t>
      </w:r>
    </w:p>
    <w:p w:rsidR="000319AA" w:rsidRPr="006C7B7D" w:rsidRDefault="000319AA" w:rsidP="000319AA">
      <w:pPr>
        <w:widowControl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i/>
        </w:rPr>
      </w:pPr>
    </w:p>
    <w:p w:rsidR="000319AA" w:rsidRPr="006C7B7D" w:rsidRDefault="000319AA" w:rsidP="000319AA">
      <w:pPr>
        <w:widowControl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i/>
        </w:rPr>
      </w:pPr>
      <w:r w:rsidRPr="006C7B7D">
        <w:rPr>
          <w:i/>
        </w:rPr>
        <w:t>ОБ – отходы бурения;</w:t>
      </w:r>
    </w:p>
    <w:p w:rsidR="000319AA" w:rsidRDefault="000319AA" w:rsidP="000319AA">
      <w:pPr>
        <w:widowControl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i/>
        </w:rPr>
      </w:pPr>
      <w:r w:rsidRPr="006C7B7D">
        <w:rPr>
          <w:i/>
        </w:rPr>
        <w:t>БШ – буровой шлам;</w:t>
      </w:r>
    </w:p>
    <w:p w:rsidR="000319AA" w:rsidRPr="006C7B7D" w:rsidRDefault="000319AA" w:rsidP="000319AA">
      <w:pPr>
        <w:widowControl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i/>
        </w:rPr>
      </w:pPr>
      <w:r>
        <w:rPr>
          <w:i/>
        </w:rPr>
        <w:t>ПР – подземный резервуар</w:t>
      </w:r>
    </w:p>
    <w:p w:rsidR="000319AA" w:rsidRPr="006C7B7D" w:rsidRDefault="000319AA" w:rsidP="000319AA">
      <w:pPr>
        <w:widowControl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i/>
        </w:rPr>
      </w:pPr>
      <w:r>
        <w:rPr>
          <w:i/>
        </w:rPr>
        <w:t>РЭ</w:t>
      </w:r>
      <w:r w:rsidRPr="006C7B7D">
        <w:rPr>
          <w:i/>
        </w:rPr>
        <w:t xml:space="preserve"> –</w:t>
      </w:r>
      <w:r>
        <w:rPr>
          <w:i/>
        </w:rPr>
        <w:t xml:space="preserve"> руководство по эксплуатации</w:t>
      </w:r>
      <w:r w:rsidRPr="006C7B7D">
        <w:rPr>
          <w:i/>
        </w:rPr>
        <w:t xml:space="preserve">; </w:t>
      </w:r>
    </w:p>
    <w:p w:rsidR="000319AA" w:rsidRPr="006C7B7D" w:rsidRDefault="000319AA" w:rsidP="000319AA">
      <w:pPr>
        <w:widowControl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i/>
        </w:rPr>
      </w:pPr>
      <w:r>
        <w:rPr>
          <w:i/>
        </w:rPr>
        <w:t>ТУ – технические условия на изготовление</w:t>
      </w:r>
      <w:r w:rsidRPr="006C7B7D">
        <w:rPr>
          <w:i/>
        </w:rPr>
        <w:t>;</w:t>
      </w:r>
    </w:p>
    <w:p w:rsidR="000319AA" w:rsidRDefault="000319AA" w:rsidP="000319AA">
      <w:pPr>
        <w:widowControl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i/>
        </w:rPr>
      </w:pPr>
      <w:r>
        <w:rPr>
          <w:i/>
        </w:rPr>
        <w:t>КИП и А – контрольно-измерительные приборы и автоматика;</w:t>
      </w:r>
    </w:p>
    <w:p w:rsidR="000319AA" w:rsidRDefault="000319AA" w:rsidP="000319AA">
      <w:pPr>
        <w:widowControl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i/>
        </w:rPr>
      </w:pPr>
      <w:r>
        <w:rPr>
          <w:i/>
        </w:rPr>
        <w:t xml:space="preserve">НТД – </w:t>
      </w:r>
      <w:proofErr w:type="spellStart"/>
      <w:r>
        <w:rPr>
          <w:i/>
        </w:rPr>
        <w:t>номативно</w:t>
      </w:r>
      <w:proofErr w:type="spellEnd"/>
      <w:r>
        <w:rPr>
          <w:i/>
        </w:rPr>
        <w:t>–техническая документация</w:t>
      </w:r>
    </w:p>
    <w:p w:rsidR="000319AA" w:rsidRDefault="000319AA" w:rsidP="000319AA">
      <w:pPr>
        <w:widowControl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i/>
        </w:rPr>
      </w:pPr>
      <w:r>
        <w:rPr>
          <w:i/>
        </w:rPr>
        <w:t>ЗИП – запасные части и принадлежности</w:t>
      </w:r>
    </w:p>
    <w:p w:rsidR="000319AA" w:rsidRPr="006C7B7D" w:rsidRDefault="000319AA" w:rsidP="000319AA">
      <w:pPr>
        <w:widowControl w:val="0"/>
        <w:overflowPunct w:val="0"/>
        <w:autoSpaceDE w:val="0"/>
        <w:autoSpaceDN w:val="0"/>
        <w:adjustRightInd w:val="0"/>
        <w:spacing w:line="276" w:lineRule="auto"/>
        <w:ind w:right="100"/>
        <w:jc w:val="both"/>
        <w:rPr>
          <w:i/>
        </w:rPr>
      </w:pPr>
      <w:r>
        <w:rPr>
          <w:i/>
        </w:rPr>
        <w:t xml:space="preserve">ППР – </w:t>
      </w:r>
      <w:proofErr w:type="spellStart"/>
      <w:r>
        <w:rPr>
          <w:i/>
        </w:rPr>
        <w:t>планово</w:t>
      </w:r>
      <w:proofErr w:type="spellEnd"/>
      <w:r>
        <w:rPr>
          <w:i/>
        </w:rPr>
        <w:t>–предупредительный ремонт</w:t>
      </w:r>
    </w:p>
    <w:p w:rsidR="000319AA" w:rsidRDefault="000319AA" w:rsidP="000319AA">
      <w:pPr>
        <w:spacing w:line="276" w:lineRule="auto"/>
        <w:jc w:val="both"/>
        <w:rPr>
          <w:i/>
        </w:rPr>
      </w:pPr>
      <w:r w:rsidRPr="006C7B7D">
        <w:rPr>
          <w:i/>
        </w:rPr>
        <w:t>ПОМ – природоохранное мероприятие;</w:t>
      </w:r>
    </w:p>
    <w:p w:rsidR="000319AA" w:rsidRPr="006C7B7D" w:rsidRDefault="000319AA" w:rsidP="000319AA">
      <w:pPr>
        <w:spacing w:line="276" w:lineRule="auto"/>
        <w:jc w:val="both"/>
        <w:rPr>
          <w:i/>
        </w:rPr>
      </w:pPr>
      <w:r>
        <w:rPr>
          <w:i/>
        </w:rPr>
        <w:t>ДТС – декларация таможенного союза</w:t>
      </w:r>
    </w:p>
    <w:p w:rsidR="000319AA" w:rsidRPr="000319AA" w:rsidRDefault="000319AA" w:rsidP="000319AA">
      <w:pPr>
        <w:keepNext/>
        <w:outlineLvl w:val="0"/>
        <w:rPr>
          <w:b/>
          <w:iCs/>
        </w:rPr>
      </w:pPr>
      <w:bookmarkStart w:id="0" w:name="_Toc21878958"/>
      <w:r w:rsidRPr="000319AA">
        <w:rPr>
          <w:b/>
          <w:iCs/>
        </w:rPr>
        <w:t>1. ОБЩИЕ СВЕДЕНИЯ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5"/>
        <w:gridCol w:w="6270"/>
      </w:tblGrid>
      <w:tr w:rsidR="000319AA" w:rsidRPr="000319AA" w:rsidTr="002333B0">
        <w:trPr>
          <w:tblHeader/>
        </w:trPr>
        <w:tc>
          <w:tcPr>
            <w:tcW w:w="1645" w:type="pct"/>
            <w:shd w:val="clear" w:color="auto" w:fill="FFFFFF"/>
          </w:tcPr>
          <w:p w:rsidR="000319AA" w:rsidRPr="000319AA" w:rsidRDefault="000319AA" w:rsidP="000319AA">
            <w:pPr>
              <w:jc w:val="center"/>
              <w:rPr>
                <w:b/>
              </w:rPr>
            </w:pPr>
            <w:r w:rsidRPr="000319AA">
              <w:rPr>
                <w:b/>
              </w:rPr>
              <w:t>Наименование</w:t>
            </w:r>
          </w:p>
        </w:tc>
        <w:tc>
          <w:tcPr>
            <w:tcW w:w="3355" w:type="pct"/>
            <w:shd w:val="clear" w:color="auto" w:fill="FFFFFF"/>
          </w:tcPr>
          <w:p w:rsidR="000319AA" w:rsidRPr="000319AA" w:rsidRDefault="000319AA" w:rsidP="000319AA">
            <w:pPr>
              <w:jc w:val="center"/>
              <w:rPr>
                <w:b/>
              </w:rPr>
            </w:pPr>
            <w:r w:rsidRPr="000319AA">
              <w:rPr>
                <w:b/>
              </w:rPr>
              <w:t>Единицы измерения</w:t>
            </w:r>
          </w:p>
        </w:tc>
      </w:tr>
      <w:tr w:rsidR="000319AA" w:rsidRPr="000319AA" w:rsidTr="002333B0">
        <w:trPr>
          <w:trHeight w:val="409"/>
        </w:trPr>
        <w:tc>
          <w:tcPr>
            <w:tcW w:w="1645" w:type="pct"/>
            <w:shd w:val="clear" w:color="auto" w:fill="FFFFFF"/>
            <w:vAlign w:val="center"/>
          </w:tcPr>
          <w:p w:rsidR="000319AA" w:rsidRPr="000319AA" w:rsidRDefault="000319AA" w:rsidP="000319AA">
            <w:r w:rsidRPr="000319AA">
              <w:t>1. Наименование объекта</w:t>
            </w:r>
          </w:p>
        </w:tc>
        <w:tc>
          <w:tcPr>
            <w:tcW w:w="3355" w:type="pct"/>
            <w:shd w:val="clear" w:color="auto" w:fill="FFFFFF"/>
            <w:vAlign w:val="center"/>
          </w:tcPr>
          <w:p w:rsidR="000319AA" w:rsidRPr="000319AA" w:rsidRDefault="000319AA" w:rsidP="000319AA">
            <w:r w:rsidRPr="000319AA">
              <w:t>Поршневой насос для транспортировки буровых шламов и отходов бурения</w:t>
            </w:r>
          </w:p>
        </w:tc>
      </w:tr>
      <w:tr w:rsidR="000319AA" w:rsidRPr="000319AA" w:rsidTr="002333B0">
        <w:tc>
          <w:tcPr>
            <w:tcW w:w="1645" w:type="pct"/>
            <w:shd w:val="clear" w:color="auto" w:fill="FFFFFF"/>
            <w:vAlign w:val="center"/>
          </w:tcPr>
          <w:p w:rsidR="000319AA" w:rsidRPr="000319AA" w:rsidRDefault="000319AA" w:rsidP="000319AA">
            <w:r>
              <w:t>2</w:t>
            </w:r>
            <w:r w:rsidRPr="000319AA">
              <w:t>. Состав разрешительной и технической документации</w:t>
            </w:r>
          </w:p>
        </w:tc>
        <w:tc>
          <w:tcPr>
            <w:tcW w:w="3355" w:type="pct"/>
            <w:shd w:val="clear" w:color="auto" w:fill="FFFFFF"/>
          </w:tcPr>
          <w:p w:rsidR="000319AA" w:rsidRPr="000319AA" w:rsidRDefault="000319AA" w:rsidP="000319AA">
            <w:pPr>
              <w:jc w:val="both"/>
            </w:pPr>
            <w:r w:rsidRPr="000319AA">
              <w:t xml:space="preserve">   Изделие должно обладать всей разрешительной документацией, а именно </w:t>
            </w:r>
            <w:proofErr w:type="gramStart"/>
            <w:r w:rsidRPr="000319AA">
              <w:t>ТУ,  Декларацией</w:t>
            </w:r>
            <w:proofErr w:type="gramEnd"/>
            <w:r w:rsidRPr="000319AA">
              <w:t xml:space="preserve">  Таможенного  Союза, ГЭЭ на все субъекты РФ.</w:t>
            </w:r>
          </w:p>
          <w:p w:rsidR="000319AA" w:rsidRPr="000319AA" w:rsidRDefault="000319AA" w:rsidP="000319AA">
            <w:pPr>
              <w:jc w:val="both"/>
            </w:pPr>
            <w:r w:rsidRPr="000319AA">
              <w:t xml:space="preserve">   Техническая документация должна включать в себя Паспорт, руководство по технической эксплуатации, ТУ на производство </w:t>
            </w:r>
            <w:proofErr w:type="gramStart"/>
            <w:r w:rsidRPr="000319AA">
              <w:t>изделия,  в</w:t>
            </w:r>
            <w:proofErr w:type="gramEnd"/>
            <w:r w:rsidRPr="000319AA">
              <w:t xml:space="preserve"> том числе  паспорта и РЭ  на  покупные изделия.</w:t>
            </w:r>
          </w:p>
          <w:p w:rsidR="000319AA" w:rsidRPr="000319AA" w:rsidRDefault="000319AA" w:rsidP="000319AA">
            <w:pPr>
              <w:jc w:val="both"/>
            </w:pPr>
            <w:r w:rsidRPr="000319AA">
              <w:t xml:space="preserve">   Технические документы по эксплуатации КИП и автоматики</w:t>
            </w:r>
          </w:p>
          <w:p w:rsidR="000319AA" w:rsidRPr="000319AA" w:rsidRDefault="000319AA" w:rsidP="000319AA">
            <w:pPr>
              <w:jc w:val="both"/>
            </w:pPr>
            <w:r w:rsidRPr="000319AA">
              <w:t xml:space="preserve">    Программу проведения технического обслуживания, и график планово-предупредительного ремонта</w:t>
            </w:r>
          </w:p>
          <w:p w:rsidR="000319AA" w:rsidRPr="000319AA" w:rsidRDefault="000319AA" w:rsidP="000319AA">
            <w:pPr>
              <w:jc w:val="both"/>
            </w:pPr>
            <w:r w:rsidRPr="000319AA">
              <w:t xml:space="preserve">    Иные документы, необходимые для обеспечения бесперебойной и безаварийной </w:t>
            </w:r>
            <w:proofErr w:type="gramStart"/>
            <w:r w:rsidRPr="000319AA">
              <w:t>эксплуатации  предусмотренные</w:t>
            </w:r>
            <w:proofErr w:type="gramEnd"/>
            <w:r w:rsidRPr="000319AA">
              <w:t xml:space="preserve"> действующим законодательством  РФ. </w:t>
            </w:r>
          </w:p>
          <w:p w:rsidR="000319AA" w:rsidRPr="000319AA" w:rsidRDefault="000319AA" w:rsidP="000319AA">
            <w:pPr>
              <w:jc w:val="both"/>
              <w:rPr>
                <w:highlight w:val="yellow"/>
              </w:rPr>
            </w:pPr>
            <w:r w:rsidRPr="000319AA">
              <w:t xml:space="preserve">   Документы,  подтверждающие соответствие  требованиям НТД</w:t>
            </w:r>
          </w:p>
        </w:tc>
      </w:tr>
      <w:tr w:rsidR="000319AA" w:rsidRPr="000319AA" w:rsidTr="002333B0">
        <w:tc>
          <w:tcPr>
            <w:tcW w:w="1645" w:type="pct"/>
            <w:shd w:val="clear" w:color="auto" w:fill="FFFFFF"/>
            <w:vAlign w:val="center"/>
          </w:tcPr>
          <w:p w:rsidR="000319AA" w:rsidRPr="000319AA" w:rsidRDefault="000319AA" w:rsidP="000319AA">
            <w:r>
              <w:t>3</w:t>
            </w:r>
            <w:r w:rsidRPr="000319AA">
              <w:t>. Форма и порядок предоставления материалов</w:t>
            </w:r>
          </w:p>
        </w:tc>
        <w:tc>
          <w:tcPr>
            <w:tcW w:w="3355" w:type="pct"/>
            <w:shd w:val="clear" w:color="auto" w:fill="FFFFFF"/>
          </w:tcPr>
          <w:p w:rsidR="000319AA" w:rsidRPr="000319AA" w:rsidRDefault="000319AA" w:rsidP="000319AA">
            <w:pPr>
              <w:jc w:val="both"/>
            </w:pPr>
            <w:r w:rsidRPr="000319AA">
              <w:t>- Выполненную документацию выдать Заказчику в 4 экземплярах на бумажном носителе и в 1 экземпляре в электронном виде.</w:t>
            </w:r>
          </w:p>
          <w:p w:rsidR="000319AA" w:rsidRPr="000319AA" w:rsidRDefault="000319AA" w:rsidP="000319AA">
            <w:pPr>
              <w:jc w:val="both"/>
            </w:pPr>
            <w:r w:rsidRPr="000319AA">
              <w:rPr>
                <w:spacing w:val="-1"/>
              </w:rPr>
              <w:lastRenderedPageBreak/>
              <w:t>- Допускается использовать носители формата - флэш-накопители. Состав и содержание диска должны соответствовать бумажной версии.</w:t>
            </w:r>
            <w:r w:rsidRPr="000319AA">
              <w:rPr>
                <w:bCs/>
                <w:spacing w:val="-1"/>
              </w:rPr>
              <w:t xml:space="preserve"> </w:t>
            </w:r>
          </w:p>
          <w:p w:rsidR="000319AA" w:rsidRPr="000319AA" w:rsidRDefault="000319AA" w:rsidP="000319AA">
            <w:pPr>
              <w:jc w:val="both"/>
            </w:pPr>
            <w:r w:rsidRPr="000319AA">
              <w:t xml:space="preserve">- Текстовые разделы отчетных материалов передаются в формате </w:t>
            </w:r>
            <w:r w:rsidRPr="000319AA">
              <w:rPr>
                <w:bCs/>
                <w:spacing w:val="-1"/>
                <w:lang w:val="en-US"/>
              </w:rPr>
              <w:t>DOC</w:t>
            </w:r>
            <w:r w:rsidRPr="000319AA">
              <w:rPr>
                <w:bCs/>
                <w:spacing w:val="-1"/>
              </w:rPr>
              <w:t>(</w:t>
            </w:r>
            <w:r w:rsidRPr="000319AA">
              <w:rPr>
                <w:bCs/>
                <w:spacing w:val="-1"/>
                <w:lang w:val="en-US"/>
              </w:rPr>
              <w:t>X</w:t>
            </w:r>
            <w:r w:rsidRPr="000319AA">
              <w:rPr>
                <w:bCs/>
                <w:spacing w:val="-1"/>
              </w:rPr>
              <w:t xml:space="preserve">), копии в </w:t>
            </w:r>
            <w:r w:rsidRPr="000319AA">
              <w:t>PDF</w:t>
            </w:r>
            <w:r w:rsidRPr="000319AA">
              <w:rPr>
                <w:bCs/>
                <w:spacing w:val="-1"/>
              </w:rPr>
              <w:t xml:space="preserve">. </w:t>
            </w:r>
            <w:r w:rsidRPr="000319AA">
              <w:t xml:space="preserve"> </w:t>
            </w:r>
          </w:p>
          <w:p w:rsidR="000319AA" w:rsidRPr="000319AA" w:rsidRDefault="000319AA" w:rsidP="000319AA">
            <w:pPr>
              <w:jc w:val="both"/>
            </w:pPr>
            <w:r w:rsidRPr="000319AA">
              <w:rPr>
                <w:bCs/>
                <w:spacing w:val="-1"/>
              </w:rPr>
              <w:t xml:space="preserve">- Табличные приложения </w:t>
            </w:r>
            <w:r w:rsidRPr="000319AA">
              <w:t xml:space="preserve">передаются в формате </w:t>
            </w:r>
            <w:r w:rsidRPr="000319AA">
              <w:rPr>
                <w:lang w:val="en-US"/>
              </w:rPr>
              <w:t>XLS</w:t>
            </w:r>
            <w:r w:rsidRPr="000319AA">
              <w:rPr>
                <w:bCs/>
                <w:spacing w:val="-1"/>
              </w:rPr>
              <w:t>, копии в</w:t>
            </w:r>
            <w:r w:rsidRPr="000319AA">
              <w:t xml:space="preserve"> </w:t>
            </w:r>
            <w:r w:rsidRPr="000319AA">
              <w:rPr>
                <w:bCs/>
                <w:spacing w:val="-1"/>
                <w:lang w:val="en-US"/>
              </w:rPr>
              <w:t>PDF</w:t>
            </w:r>
            <w:r w:rsidRPr="000319AA">
              <w:rPr>
                <w:bCs/>
                <w:spacing w:val="-1"/>
              </w:rPr>
              <w:t xml:space="preserve">. </w:t>
            </w:r>
          </w:p>
          <w:p w:rsidR="000319AA" w:rsidRPr="000319AA" w:rsidRDefault="000319AA" w:rsidP="000319AA">
            <w:pPr>
              <w:shd w:val="clear" w:color="auto" w:fill="FFFFFF"/>
              <w:jc w:val="both"/>
            </w:pPr>
            <w:r w:rsidRPr="000319AA">
              <w:t xml:space="preserve">- Графические материалы – в формате PDF. </w:t>
            </w:r>
          </w:p>
          <w:p w:rsidR="000319AA" w:rsidRPr="000319AA" w:rsidRDefault="000319AA" w:rsidP="000319AA">
            <w:pPr>
              <w:shd w:val="clear" w:color="auto" w:fill="FFFFFF"/>
              <w:jc w:val="both"/>
            </w:pPr>
            <w:r w:rsidRPr="000319AA">
              <w:t>- Файлы формата PDF должны содержать цветные документы, с подписями исполнителей. На титульных листах должны быть подписи ответственных лиц и печать организации.</w:t>
            </w:r>
          </w:p>
          <w:p w:rsidR="000319AA" w:rsidRPr="000319AA" w:rsidRDefault="000319AA" w:rsidP="000319AA">
            <w:pPr>
              <w:shd w:val="clear" w:color="auto" w:fill="FFFFFF"/>
              <w:jc w:val="both"/>
            </w:pPr>
            <w:r w:rsidRPr="000319AA">
              <w:rPr>
                <w:spacing w:val="-1"/>
              </w:rPr>
              <w:t xml:space="preserve">- Документы формата </w:t>
            </w:r>
            <w:r w:rsidRPr="000319AA">
              <w:rPr>
                <w:spacing w:val="-1"/>
                <w:lang w:val="en-US"/>
              </w:rPr>
              <w:t>PDF</w:t>
            </w:r>
            <w:r w:rsidRPr="000319AA">
              <w:rPr>
                <w:spacing w:val="-1"/>
              </w:rPr>
              <w:t xml:space="preserve"> должны являться результатом конвертации оригинальных документов в формат </w:t>
            </w:r>
            <w:r w:rsidRPr="000319AA">
              <w:rPr>
                <w:spacing w:val="-1"/>
                <w:lang w:val="en-US"/>
              </w:rPr>
              <w:t>PDF</w:t>
            </w:r>
            <w:r w:rsidRPr="000319AA">
              <w:rPr>
                <w:spacing w:val="-1"/>
              </w:rPr>
              <w:t>. Предоставление сканов оригинальных документов допускается лишь для страниц с подписями ответственных лиц и печатью организации.</w:t>
            </w:r>
          </w:p>
        </w:tc>
      </w:tr>
      <w:tr w:rsidR="000319AA" w:rsidRPr="000319AA" w:rsidTr="002333B0">
        <w:tc>
          <w:tcPr>
            <w:tcW w:w="1645" w:type="pct"/>
            <w:shd w:val="clear" w:color="auto" w:fill="FFFFFF"/>
            <w:vAlign w:val="center"/>
          </w:tcPr>
          <w:p w:rsidR="000319AA" w:rsidRPr="000319AA" w:rsidRDefault="000319AA" w:rsidP="000319AA">
            <w:r>
              <w:lastRenderedPageBreak/>
              <w:t>4</w:t>
            </w:r>
            <w:r w:rsidRPr="000319AA">
              <w:t>. Коммерческое предложение</w:t>
            </w:r>
          </w:p>
        </w:tc>
        <w:tc>
          <w:tcPr>
            <w:tcW w:w="3355" w:type="pct"/>
            <w:shd w:val="clear" w:color="auto" w:fill="FFFFFF"/>
          </w:tcPr>
          <w:p w:rsidR="000319AA" w:rsidRPr="000319AA" w:rsidRDefault="000319AA" w:rsidP="000319AA">
            <w:pPr>
              <w:jc w:val="both"/>
            </w:pPr>
            <w:r w:rsidRPr="000319AA">
              <w:t>КП предоставить с расшифровками стоимости изделия и приложить эскиз изделия</w:t>
            </w:r>
          </w:p>
        </w:tc>
      </w:tr>
    </w:tbl>
    <w:p w:rsidR="000319AA" w:rsidRPr="000319AA" w:rsidRDefault="000319AA" w:rsidP="000319AA">
      <w:pPr>
        <w:keepNext/>
        <w:jc w:val="both"/>
        <w:outlineLvl w:val="0"/>
        <w:rPr>
          <w:b/>
          <w:iCs/>
        </w:rPr>
      </w:pPr>
      <w:bookmarkStart w:id="1" w:name="_Toc21878959"/>
      <w:r w:rsidRPr="000319AA">
        <w:rPr>
          <w:b/>
          <w:iCs/>
        </w:rPr>
        <w:t>2. МЕТЕОРОЛОГИЧЕСКАЯ И КЛИМАТИЧЕСКАЯ ХАРАКТЕРИСТИКА РАЙОНА</w:t>
      </w:r>
      <w:bookmarkEnd w:id="1"/>
    </w:p>
    <w:p w:rsidR="000319AA" w:rsidRPr="000319AA" w:rsidRDefault="000319AA" w:rsidP="000319AA">
      <w:pPr>
        <w:widowControl w:val="0"/>
        <w:spacing w:line="276" w:lineRule="auto"/>
        <w:jc w:val="both"/>
      </w:pPr>
      <w:r w:rsidRPr="000319AA">
        <w:tab/>
        <w:t>Для климата рассматриваемой территории характерны суровая зима с длительным залеганием снежного покрова, короткие переходные сезоны - весна и осень, короткое холодное лето, поздние весенние и ранние осенние заморозки, полное отсутствие в отдельные годы безморозного периода.</w:t>
      </w:r>
    </w:p>
    <w:p w:rsidR="000319AA" w:rsidRPr="000319AA" w:rsidRDefault="000319AA" w:rsidP="000319AA">
      <w:pPr>
        <w:widowControl w:val="0"/>
        <w:spacing w:line="276" w:lineRule="auto"/>
        <w:jc w:val="both"/>
      </w:pPr>
      <w:r w:rsidRPr="000319AA">
        <w:tab/>
        <w:t>Среднегодовая температура воздуха минус 10,1 °С, среднемесячная температура воздуха наиболее холодного месяца - февраля, минус 26,9 °С, а самого жаркого - августа, плюс 7,6 °С. Абсолютный минимум температуры - минус 58°С, абсолютный максимум приходится на июль, плюс 30,1°С. Продолжительность отопительного периода составляет 318 суток.</w:t>
      </w:r>
    </w:p>
    <w:p w:rsidR="000319AA" w:rsidRPr="000319AA" w:rsidRDefault="000319AA" w:rsidP="000319AA">
      <w:pPr>
        <w:keepNext/>
        <w:jc w:val="both"/>
        <w:outlineLvl w:val="0"/>
        <w:rPr>
          <w:i/>
          <w:iCs/>
          <w:sz w:val="28"/>
          <w:szCs w:val="20"/>
        </w:rPr>
      </w:pPr>
    </w:p>
    <w:p w:rsidR="000319AA" w:rsidRPr="000319AA" w:rsidRDefault="000319AA" w:rsidP="000319AA">
      <w:pPr>
        <w:keepNext/>
        <w:jc w:val="both"/>
        <w:outlineLvl w:val="0"/>
        <w:rPr>
          <w:b/>
          <w:iCs/>
        </w:rPr>
      </w:pPr>
      <w:r w:rsidRPr="000319AA">
        <w:rPr>
          <w:i/>
          <w:iCs/>
          <w:sz w:val="28"/>
          <w:szCs w:val="20"/>
        </w:rPr>
        <w:t xml:space="preserve">  </w:t>
      </w:r>
      <w:bookmarkStart w:id="2" w:name="_Toc21878960"/>
      <w:r w:rsidRPr="000319AA">
        <w:rPr>
          <w:b/>
          <w:iCs/>
        </w:rPr>
        <w:t>3. РАЗМЕЩЕНИЕ ИЗДЕЛИЯ</w:t>
      </w:r>
      <w:bookmarkEnd w:id="2"/>
      <w:r w:rsidRPr="000319AA">
        <w:rPr>
          <w:b/>
          <w:iCs/>
        </w:rPr>
        <w:t xml:space="preserve"> </w:t>
      </w:r>
    </w:p>
    <w:p w:rsidR="000319AA" w:rsidRPr="000319AA" w:rsidRDefault="000319AA" w:rsidP="000319AA">
      <w:pPr>
        <w:widowControl w:val="0"/>
        <w:spacing w:line="276" w:lineRule="auto"/>
        <w:jc w:val="both"/>
      </w:pPr>
      <w:r w:rsidRPr="000319AA">
        <w:t>3.1. Насос устанавливается в отапливаемом производственном помещении (ангаре), колебания температуры воздуха внутри ангара + 5 +30</w:t>
      </w:r>
      <w:r w:rsidRPr="000319AA">
        <w:rPr>
          <w:vertAlign w:val="superscript"/>
        </w:rPr>
        <w:t>0</w:t>
      </w:r>
      <w:r w:rsidRPr="000319AA">
        <w:t>С</w:t>
      </w:r>
    </w:p>
    <w:p w:rsidR="000319AA" w:rsidRPr="000319AA" w:rsidRDefault="000319AA" w:rsidP="000319AA">
      <w:pPr>
        <w:widowControl w:val="0"/>
        <w:spacing w:line="276" w:lineRule="auto"/>
        <w:jc w:val="both"/>
      </w:pPr>
      <w:r w:rsidRPr="000319AA">
        <w:t xml:space="preserve">3.2. </w:t>
      </w:r>
      <w:proofErr w:type="gramStart"/>
      <w:r w:rsidRPr="000319AA">
        <w:t>Пол  ангара</w:t>
      </w:r>
      <w:proofErr w:type="gramEnd"/>
      <w:r w:rsidRPr="000319AA">
        <w:t xml:space="preserve">  выложен дорожными плитами 1П60 – (6000 х 2000 х 140 мм) с перепадом высот не более  10 мм по всей плоскости площадки. </w:t>
      </w:r>
    </w:p>
    <w:p w:rsidR="000319AA" w:rsidRPr="000319AA" w:rsidRDefault="000319AA" w:rsidP="000319AA">
      <w:pPr>
        <w:widowControl w:val="0"/>
        <w:spacing w:line="276" w:lineRule="auto"/>
        <w:jc w:val="both"/>
      </w:pPr>
      <w:r w:rsidRPr="000319AA">
        <w:t>3.3. Конструкция основания насоса должна обеспечивать устойчивое положение изделия на дорожных плитах</w:t>
      </w:r>
    </w:p>
    <w:p w:rsidR="000319AA" w:rsidRPr="000319AA" w:rsidRDefault="000319AA" w:rsidP="000319AA">
      <w:pPr>
        <w:suppressAutoHyphens w:val="0"/>
        <w:spacing w:after="60"/>
        <w:outlineLvl w:val="0"/>
        <w:rPr>
          <w:b/>
          <w:bCs/>
          <w:kern w:val="28"/>
          <w:lang w:eastAsia="ru-RU" w:bidi="ar-SA"/>
        </w:rPr>
      </w:pPr>
    </w:p>
    <w:p w:rsidR="000319AA" w:rsidRPr="000319AA" w:rsidRDefault="000319AA" w:rsidP="000319AA">
      <w:pPr>
        <w:suppressAutoHyphens w:val="0"/>
        <w:spacing w:after="60"/>
        <w:outlineLvl w:val="0"/>
        <w:rPr>
          <w:b/>
          <w:bCs/>
          <w:kern w:val="28"/>
          <w:lang w:eastAsia="ru-RU" w:bidi="ar-SA"/>
        </w:rPr>
      </w:pPr>
      <w:bookmarkStart w:id="3" w:name="_Toc21878961"/>
      <w:r w:rsidRPr="000319AA">
        <w:rPr>
          <w:b/>
          <w:bCs/>
          <w:kern w:val="28"/>
          <w:lang w:eastAsia="ru-RU" w:bidi="ar-SA"/>
        </w:rPr>
        <w:t>4. НАЗНАЧЕНИЕ ИЗДЕЛИЯ</w:t>
      </w:r>
      <w:bookmarkEnd w:id="3"/>
    </w:p>
    <w:p w:rsidR="000319AA" w:rsidRPr="000319AA" w:rsidRDefault="000319AA" w:rsidP="000319AA">
      <w:pPr>
        <w:jc w:val="both"/>
      </w:pPr>
      <w:r w:rsidRPr="000319AA">
        <w:t xml:space="preserve">4.1. Поршневой насос предназначен для закачки БШ и ОБ в намытые подземные резервуары </w:t>
      </w:r>
      <w:proofErr w:type="spellStart"/>
      <w:r w:rsidRPr="000319AA">
        <w:t>Харасавейского</w:t>
      </w:r>
      <w:proofErr w:type="spellEnd"/>
      <w:r w:rsidRPr="000319AA">
        <w:t xml:space="preserve"> НГКМ. Устье ПР оборудовано обсадной колонной Ф 219 мм, длиной 9 метров. Резервуар сообщается с атмосферой, противодавление со стороны ПР отсутствует.</w:t>
      </w:r>
    </w:p>
    <w:p w:rsidR="001331CC" w:rsidRDefault="001331CC" w:rsidP="000319AA"/>
    <w:p w:rsidR="000319AA" w:rsidRPr="000319AA" w:rsidRDefault="000319AA" w:rsidP="000319AA">
      <w:pPr>
        <w:keepNext/>
        <w:jc w:val="both"/>
        <w:outlineLvl w:val="0"/>
        <w:rPr>
          <w:b/>
          <w:iCs/>
        </w:rPr>
      </w:pPr>
      <w:bookmarkStart w:id="4" w:name="_Toc21878962"/>
      <w:r w:rsidRPr="000319AA">
        <w:rPr>
          <w:b/>
          <w:iCs/>
        </w:rPr>
        <w:t xml:space="preserve">5. ТЕХНИЧЕСКИЕ ТРЕБОВАНИЯ К </w:t>
      </w:r>
      <w:bookmarkEnd w:id="4"/>
      <w:r w:rsidRPr="000319AA">
        <w:rPr>
          <w:b/>
          <w:iCs/>
        </w:rPr>
        <w:t>АНГАРУ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"/>
        <w:gridCol w:w="2323"/>
        <w:gridCol w:w="757"/>
        <w:gridCol w:w="5762"/>
      </w:tblGrid>
      <w:tr w:rsidR="000319AA" w:rsidRPr="000319AA" w:rsidTr="002333B0">
        <w:tc>
          <w:tcPr>
            <w:tcW w:w="269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center"/>
            </w:pPr>
            <w:r w:rsidRPr="000319AA">
              <w:t>№</w:t>
            </w:r>
          </w:p>
        </w:tc>
        <w:tc>
          <w:tcPr>
            <w:tcW w:w="124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19AA">
              <w:t>Наименование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19AA">
              <w:t>Ед. изм.</w:t>
            </w:r>
          </w:p>
        </w:tc>
        <w:tc>
          <w:tcPr>
            <w:tcW w:w="308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19AA">
              <w:t>Требования</w:t>
            </w:r>
          </w:p>
        </w:tc>
      </w:tr>
      <w:tr w:rsidR="000319AA" w:rsidRPr="000319AA" w:rsidTr="002333B0">
        <w:tc>
          <w:tcPr>
            <w:tcW w:w="269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center"/>
              <w:rPr>
                <w:b/>
              </w:rPr>
            </w:pPr>
            <w:r w:rsidRPr="000319AA">
              <w:rPr>
                <w:b/>
              </w:rPr>
              <w:t>5.1</w:t>
            </w:r>
          </w:p>
        </w:tc>
        <w:tc>
          <w:tcPr>
            <w:tcW w:w="124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</w:pPr>
            <w:r w:rsidRPr="000319AA">
              <w:t xml:space="preserve">Характеристика перекачиваемой </w:t>
            </w:r>
            <w:r w:rsidRPr="000319AA">
              <w:lastRenderedPageBreak/>
              <w:t>среды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 xml:space="preserve">1. Буровой шлам, отработанный буровой раствор, жидкости </w:t>
            </w:r>
            <w:proofErr w:type="spellStart"/>
            <w:r w:rsidRPr="000319AA">
              <w:t>продавки</w:t>
            </w:r>
            <w:proofErr w:type="spellEnd"/>
            <w:r w:rsidRPr="000319AA">
              <w:t>, буровые сточные воды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lastRenderedPageBreak/>
              <w:t>2. Химический и минералогический состав среды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>выбуренная порода (песок, глина, известняк и т.д.), отработанный буровой раствор на водной основе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>3.  Химически активные вещества отсутствуют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>4. Соотношение твёрдое/жидкое в перекачиваемой смеси варьируется в соотношениях 50-60/50-40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>5. Удельный вес перекачиваемой смеси до 2 г/см3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>6. Показатель рН среды 5 – 9 единиц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 xml:space="preserve">7. Гранулометрический состав перекачиваемого </w:t>
            </w:r>
            <w:proofErr w:type="gramStart"/>
            <w:r w:rsidRPr="000319AA">
              <w:t>материала  от</w:t>
            </w:r>
            <w:proofErr w:type="gramEnd"/>
            <w:r w:rsidRPr="000319AA">
              <w:t xml:space="preserve"> 5 мкм до 50 мм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 xml:space="preserve">8. Транспортируемая среда имеет выраженные абразивные свойства </w:t>
            </w:r>
          </w:p>
        </w:tc>
      </w:tr>
      <w:tr w:rsidR="000319AA" w:rsidRPr="000319AA" w:rsidTr="002333B0">
        <w:tc>
          <w:tcPr>
            <w:tcW w:w="269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center"/>
              <w:rPr>
                <w:b/>
              </w:rPr>
            </w:pPr>
            <w:r w:rsidRPr="000319AA">
              <w:rPr>
                <w:b/>
              </w:rPr>
              <w:lastRenderedPageBreak/>
              <w:t>5.2.</w:t>
            </w:r>
          </w:p>
        </w:tc>
        <w:tc>
          <w:tcPr>
            <w:tcW w:w="124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</w:pPr>
            <w:r w:rsidRPr="000319AA">
              <w:t>Технические требования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 xml:space="preserve">1. Требуемая производительность насосного агрегата (мин., </w:t>
            </w:r>
            <w:proofErr w:type="spellStart"/>
            <w:r w:rsidRPr="000319AA">
              <w:t>средн</w:t>
            </w:r>
            <w:proofErr w:type="spellEnd"/>
            <w:r w:rsidRPr="000319AA">
              <w:t>., макс.)  10 – 15 – 25 м3/час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>2. Транспортировка производится по горизонтальному отапливаемому трубопроводу диаметром, не менее, выходного на насосе. Длина трубопровода до 200 м, с последующим сбросом в подземный резервуар.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 xml:space="preserve">3. Секции трубопровода </w:t>
            </w:r>
            <w:proofErr w:type="spellStart"/>
            <w:r w:rsidRPr="000319AA">
              <w:t>теплоизолированые</w:t>
            </w:r>
            <w:proofErr w:type="spellEnd"/>
            <w:r w:rsidRPr="000319AA">
              <w:t xml:space="preserve"> с обогревом греющим кабелем.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 xml:space="preserve">4. Тип привода насоса электрический с плавным пуском </w:t>
            </w:r>
          </w:p>
        </w:tc>
      </w:tr>
      <w:tr w:rsidR="000319AA" w:rsidRPr="000319AA" w:rsidTr="002333B0">
        <w:tc>
          <w:tcPr>
            <w:tcW w:w="269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center"/>
              <w:rPr>
                <w:b/>
              </w:rPr>
            </w:pPr>
            <w:r w:rsidRPr="000319AA">
              <w:rPr>
                <w:b/>
              </w:rPr>
              <w:t>5.3</w:t>
            </w:r>
          </w:p>
        </w:tc>
        <w:tc>
          <w:tcPr>
            <w:tcW w:w="124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</w:pPr>
            <w:r w:rsidRPr="000319AA">
              <w:t>Комплектация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19AA">
              <w:t>Ед.</w:t>
            </w:r>
          </w:p>
        </w:tc>
        <w:tc>
          <w:tcPr>
            <w:tcW w:w="308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19AA">
              <w:t xml:space="preserve">1. Насос с системой регулирования </w:t>
            </w:r>
            <w:proofErr w:type="gramStart"/>
            <w:r w:rsidRPr="000319AA">
              <w:t>производительности  -</w:t>
            </w:r>
            <w:proofErr w:type="gramEnd"/>
            <w:r w:rsidRPr="000319AA">
              <w:t xml:space="preserve"> 1 комп.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>2. Секции трубопровода не более 10 м общей длиной 250 м - 1 комп.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>3. Приспособление для прочистки трубопровода - 1 комп.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 xml:space="preserve">4. Приемный бункер насоса для загрузки шлама объемом не </w:t>
            </w:r>
            <w:proofErr w:type="gramStart"/>
            <w:r w:rsidRPr="000319AA">
              <w:t>менее  1</w:t>
            </w:r>
            <w:proofErr w:type="gramEnd"/>
            <w:r w:rsidRPr="000319AA">
              <w:t xml:space="preserve"> </w:t>
            </w:r>
            <w:proofErr w:type="spellStart"/>
            <w:r w:rsidRPr="000319AA">
              <w:t>м.куб</w:t>
            </w:r>
            <w:proofErr w:type="spellEnd"/>
            <w:r w:rsidRPr="000319AA">
              <w:t xml:space="preserve">. – 1 комп. 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 xml:space="preserve">5. Счетчик наработки </w:t>
            </w:r>
            <w:proofErr w:type="spellStart"/>
            <w:r w:rsidRPr="000319AA">
              <w:t>мото</w:t>
            </w:r>
            <w:proofErr w:type="spellEnd"/>
            <w:r w:rsidRPr="000319AA">
              <w:t>-часов оборудования – 1 комп.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19AA">
              <w:t>5. Комплект ЗИП на 3000 часов эксплуатации – 1 комп.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0319AA" w:rsidRPr="000319AA" w:rsidTr="002333B0">
        <w:tc>
          <w:tcPr>
            <w:tcW w:w="269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center"/>
              <w:rPr>
                <w:b/>
              </w:rPr>
            </w:pPr>
            <w:r w:rsidRPr="000319AA">
              <w:rPr>
                <w:b/>
              </w:rPr>
              <w:t>5.4.</w:t>
            </w:r>
          </w:p>
        </w:tc>
        <w:tc>
          <w:tcPr>
            <w:tcW w:w="124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</w:pPr>
            <w:r w:rsidRPr="000319AA">
              <w:t>Режим эксплуатации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 xml:space="preserve">1. Количество рабочих часов в сутки / в год - 20/7300 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 xml:space="preserve">2. Общее количество смеси, подлежащее перекачке за период эксплуатации оборудования до 75 000 м3 </w:t>
            </w:r>
          </w:p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 xml:space="preserve">3. Подача БШ и ОБ на вход насоса осуществляется с помощью шламовой помпы S6CSL с  регулируемым гидроприводом и  грейферным ковшом </w:t>
            </w:r>
            <w:proofErr w:type="spellStart"/>
            <w:r w:rsidRPr="000319AA">
              <w:t>гидроманипулятора</w:t>
            </w:r>
            <w:proofErr w:type="spellEnd"/>
            <w:r w:rsidRPr="000319AA">
              <w:t>.</w:t>
            </w:r>
          </w:p>
        </w:tc>
      </w:tr>
      <w:tr w:rsidR="000319AA" w:rsidRPr="000319AA" w:rsidTr="002333B0">
        <w:tc>
          <w:tcPr>
            <w:tcW w:w="269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center"/>
              <w:rPr>
                <w:b/>
              </w:rPr>
            </w:pPr>
            <w:r w:rsidRPr="000319AA">
              <w:rPr>
                <w:b/>
              </w:rPr>
              <w:t>5.5</w:t>
            </w:r>
          </w:p>
        </w:tc>
        <w:tc>
          <w:tcPr>
            <w:tcW w:w="124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</w:pPr>
            <w:r w:rsidRPr="000319AA">
              <w:t>Транспортирование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>Насос и секции трубопровода должны перевозиться водным, железнодорожным и автомобильным транспортом без оформления дополнительных разрешений на перевозку негабаритных грузов</w:t>
            </w:r>
          </w:p>
        </w:tc>
      </w:tr>
      <w:tr w:rsidR="000319AA" w:rsidRPr="000319AA" w:rsidTr="002333B0">
        <w:tc>
          <w:tcPr>
            <w:tcW w:w="269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center"/>
              <w:rPr>
                <w:b/>
              </w:rPr>
            </w:pPr>
            <w:r w:rsidRPr="000319AA">
              <w:rPr>
                <w:b/>
              </w:rPr>
              <w:t>5.6</w:t>
            </w:r>
          </w:p>
        </w:tc>
        <w:tc>
          <w:tcPr>
            <w:tcW w:w="124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319AA">
              <w:t>Монтажеспособность</w:t>
            </w:r>
            <w:proofErr w:type="spellEnd"/>
          </w:p>
        </w:tc>
        <w:tc>
          <w:tcPr>
            <w:tcW w:w="405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9AA">
              <w:t>Предоставляет изготовитель</w:t>
            </w:r>
          </w:p>
        </w:tc>
      </w:tr>
      <w:tr w:rsidR="000319AA" w:rsidRPr="000319AA" w:rsidTr="002333B0">
        <w:tc>
          <w:tcPr>
            <w:tcW w:w="269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center"/>
              <w:rPr>
                <w:b/>
              </w:rPr>
            </w:pPr>
            <w:r w:rsidRPr="000319AA">
              <w:rPr>
                <w:b/>
              </w:rPr>
              <w:t>5.7</w:t>
            </w:r>
          </w:p>
        </w:tc>
        <w:tc>
          <w:tcPr>
            <w:tcW w:w="1243" w:type="pct"/>
            <w:shd w:val="clear" w:color="auto" w:fill="FFFFFF"/>
            <w:vAlign w:val="center"/>
          </w:tcPr>
          <w:p w:rsidR="000319AA" w:rsidRPr="000319AA" w:rsidRDefault="000319AA" w:rsidP="000319AA">
            <w:r w:rsidRPr="000319AA">
              <w:t>Тип исполнения электрооборудования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center"/>
            </w:pPr>
          </w:p>
        </w:tc>
        <w:tc>
          <w:tcPr>
            <w:tcW w:w="308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both"/>
            </w:pPr>
            <w:r w:rsidRPr="000319AA">
              <w:t>Общепромышленное</w:t>
            </w:r>
          </w:p>
        </w:tc>
      </w:tr>
      <w:tr w:rsidR="000319AA" w:rsidRPr="000319AA" w:rsidTr="002333B0">
        <w:tc>
          <w:tcPr>
            <w:tcW w:w="269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center"/>
              <w:rPr>
                <w:b/>
              </w:rPr>
            </w:pPr>
            <w:r w:rsidRPr="000319AA">
              <w:rPr>
                <w:b/>
              </w:rPr>
              <w:t>5.8</w:t>
            </w:r>
          </w:p>
        </w:tc>
        <w:tc>
          <w:tcPr>
            <w:tcW w:w="124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rPr>
                <w:color w:val="FF0000"/>
              </w:rPr>
            </w:pPr>
            <w:r w:rsidRPr="000319AA">
              <w:t xml:space="preserve">Энергоснабжение 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center"/>
              <w:rPr>
                <w:color w:val="FF0000"/>
              </w:rPr>
            </w:pPr>
          </w:p>
        </w:tc>
        <w:tc>
          <w:tcPr>
            <w:tcW w:w="3083" w:type="pct"/>
            <w:shd w:val="clear" w:color="auto" w:fill="FFFFFF"/>
            <w:vAlign w:val="center"/>
          </w:tcPr>
          <w:p w:rsidR="000319AA" w:rsidRPr="000319AA" w:rsidRDefault="000319AA" w:rsidP="000319AA">
            <w:pPr>
              <w:jc w:val="both"/>
              <w:rPr>
                <w:b/>
                <w:sz w:val="22"/>
              </w:rPr>
            </w:pPr>
            <w:r w:rsidRPr="000319AA">
              <w:rPr>
                <w:sz w:val="22"/>
              </w:rPr>
              <w:t xml:space="preserve">Промышленный ток 380 В, 50 Гц </w:t>
            </w:r>
          </w:p>
          <w:p w:rsidR="000319AA" w:rsidRPr="000319AA" w:rsidRDefault="000319AA" w:rsidP="000319AA">
            <w:pPr>
              <w:jc w:val="both"/>
              <w:rPr>
                <w:sz w:val="22"/>
              </w:rPr>
            </w:pPr>
          </w:p>
        </w:tc>
      </w:tr>
    </w:tbl>
    <w:p w:rsidR="000319AA" w:rsidRDefault="000319AA" w:rsidP="000319AA">
      <w:bookmarkStart w:id="5" w:name="_GoBack"/>
      <w:bookmarkEnd w:id="5"/>
    </w:p>
    <w:sectPr w:rsidR="0003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C4"/>
    <w:rsid w:val="000319AA"/>
    <w:rsid w:val="001331CC"/>
    <w:rsid w:val="0028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F4F2"/>
  <w15:chartTrackingRefBased/>
  <w15:docId w15:val="{B10F024D-4D5B-4192-B900-C612ED2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EC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0319A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19AA"/>
    <w:rPr>
      <w:color w:val="0000FF"/>
      <w:u w:val="single"/>
    </w:rPr>
  </w:style>
  <w:style w:type="paragraph" w:styleId="11">
    <w:name w:val="toc 1"/>
    <w:aliases w:val="Оглавление"/>
    <w:basedOn w:val="a"/>
    <w:next w:val="a"/>
    <w:autoRedefine/>
    <w:uiPriority w:val="39"/>
    <w:unhideWhenUsed/>
    <w:rsid w:val="000319AA"/>
    <w:pPr>
      <w:tabs>
        <w:tab w:val="right" w:leader="dot" w:pos="10338"/>
      </w:tabs>
    </w:pPr>
    <w:rPr>
      <w:b/>
      <w:noProof/>
    </w:rPr>
  </w:style>
  <w:style w:type="character" w:customStyle="1" w:styleId="10">
    <w:name w:val="Заголовок 1 Знак"/>
    <w:basedOn w:val="a0"/>
    <w:link w:val="1"/>
    <w:uiPriority w:val="9"/>
    <w:rsid w:val="000319A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a4">
    <w:name w:val="TOC Heading"/>
    <w:basedOn w:val="1"/>
    <w:next w:val="a"/>
    <w:uiPriority w:val="39"/>
    <w:unhideWhenUsed/>
    <w:qFormat/>
    <w:rsid w:val="000319AA"/>
    <w:pPr>
      <w:suppressAutoHyphens w:val="0"/>
      <w:spacing w:line="259" w:lineRule="auto"/>
      <w:outlineLvl w:val="9"/>
    </w:pPr>
    <w:rPr>
      <w:rFonts w:ascii="Calibri Light" w:eastAsia="Times New Roman" w:hAnsi="Calibri Light" w:cs="Times New Roman"/>
      <w:color w:val="2E74B5"/>
      <w:kern w:val="0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966</Words>
  <Characters>5507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2019-10-23T13:25:00Z</dcterms:created>
  <dcterms:modified xsi:type="dcterms:W3CDTF">2019-10-23T13:29:00Z</dcterms:modified>
</cp:coreProperties>
</file>