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1715" w:type="dxa"/>
        <w:jc w:val="left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3" w:type="dxa"/>
          <w:bottom w:w="28" w:type="dxa"/>
          <w:right w:w="28" w:type="dxa"/>
        </w:tblCellMar>
      </w:tblPr>
      <w:tblGrid>
        <w:gridCol w:w="3542"/>
        <w:gridCol w:w="5216"/>
        <w:gridCol w:w="1612"/>
        <w:gridCol w:w="1345"/>
      </w:tblGrid>
      <w:tr>
        <w:trPr/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20"/>
              <w:spacing w:lineRule="atLeast" w:line="240" w:before="270" w:after="0"/>
              <w:ind w:left="150" w:right="0" w:hanging="0"/>
              <w:jc w:val="center"/>
              <w:rPr>
                <w:rFonts w:ascii="times new roman;serif" w:hAnsi="times new roman;serif"/>
                <w:sz w:val="24"/>
                <w:lang w:val="en-US"/>
              </w:rPr>
            </w:pPr>
            <w:r>
              <w:rPr>
                <w:rFonts w:ascii="times new roman;serif" w:hAnsi="times new roman;serif"/>
                <w:sz w:val="24"/>
                <w:lang w:val="en-US"/>
              </w:rPr>
              <w:t>Наименование</w:t>
            </w:r>
          </w:p>
        </w:tc>
        <w:tc>
          <w:tcPr>
            <w:tcW w:w="5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0"/>
              <w:spacing w:before="270" w:after="0"/>
              <w:ind w:left="150" w:right="0" w:hanging="0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4"/>
              </w:rPr>
              <w:t>Характеристики</w:t>
            </w:r>
          </w:p>
          <w:p>
            <w:pPr>
              <w:pStyle w:val="Style20"/>
              <w:spacing w:before="30" w:after="0"/>
              <w:ind w:left="150" w:right="0" w:hanging="0"/>
              <w:jc w:val="center"/>
              <w:rPr/>
            </w:pPr>
            <w:r>
              <w:rPr/>
              <w:t> </w:t>
            </w:r>
          </w:p>
        </w:tc>
        <w:tc>
          <w:tcPr>
            <w:tcW w:w="16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0"/>
              <w:spacing w:before="270" w:after="0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4"/>
              </w:rPr>
              <w:t>Ед. изм.</w:t>
            </w:r>
          </w:p>
          <w:p>
            <w:pPr>
              <w:pStyle w:val="Style20"/>
              <w:spacing w:before="30" w:after="0"/>
              <w:ind w:left="150" w:right="0" w:hanging="0"/>
              <w:jc w:val="center"/>
              <w:rPr/>
            </w:pPr>
            <w:r>
              <w:rPr/>
              <w:t> </w:t>
            </w:r>
          </w:p>
        </w:tc>
        <w:tc>
          <w:tcPr>
            <w:tcW w:w="13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0"/>
              <w:spacing w:lineRule="atLeast" w:line="240" w:before="270" w:after="0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4"/>
              </w:rPr>
              <w:t>Кол-во</w:t>
            </w:r>
          </w:p>
        </w:tc>
      </w:tr>
      <w:tr>
        <w:trPr/>
        <w:tc>
          <w:tcPr>
            <w:tcW w:w="35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</w:tcPr>
          <w:p>
            <w:pPr>
              <w:pStyle w:val="Style20"/>
              <w:spacing w:before="0" w:after="283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Блок управления преднастроенный для плоскостной парковки</w:t>
            </w:r>
          </w:p>
        </w:tc>
        <w:tc>
          <w:tcPr>
            <w:tcW w:w="521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283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Комплектуется 3мя брелоками (для системы блокировки и регулирования проезда), металлический корпус, плата управления.</w:t>
            </w:r>
          </w:p>
          <w:p>
            <w:pPr>
              <w:pStyle w:val="Style20"/>
              <w:spacing w:before="0" w:after="283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Предназначен для управления столбами антипарковочными выдвижными. Для установки на открытом воздухе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283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шт</w:t>
            </w: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283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1</w:t>
            </w:r>
          </w:p>
        </w:tc>
      </w:tr>
      <w:tr>
        <w:trPr/>
        <w:tc>
          <w:tcPr>
            <w:tcW w:w="35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br/>
            </w:r>
            <w:hyperlink r:id="rId2" w:tgtFrame="_blank">
              <w:r>
                <w:rPr>
                  <w:rStyle w:val="Style14"/>
                  <w:rFonts w:ascii="times new roman;serif" w:hAnsi="times new roman;serif"/>
                  <w:strike w:val="false"/>
                  <w:dstrike w:val="false"/>
                  <w:color w:val="990099"/>
                  <w:sz w:val="22"/>
                  <w:u w:val="none"/>
                  <w:effect w:val="none"/>
                  <w:lang w:val="ru-RU"/>
                </w:rPr>
                <w:t>Система парковочная, компл</w:t>
              </w:r>
            </w:hyperlink>
          </w:p>
          <w:p>
            <w:pPr>
              <w:pStyle w:val="Style20"/>
              <w:spacing w:before="0" w:after="283"/>
              <w:rPr/>
            </w:pPr>
            <w:r>
              <w:rPr/>
              <w:t> </w:t>
            </w:r>
          </w:p>
        </w:tc>
        <w:tc>
          <w:tcPr>
            <w:tcW w:w="521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283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Комплект: Боллард, жгут проводов (для подключения к блоку управления)</w:t>
            </w:r>
          </w:p>
          <w:p>
            <w:pPr>
              <w:pStyle w:val="Style20"/>
              <w:spacing w:before="0" w:after="283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Боллард: Высота движущейся части столба составляет 700 мм, а диаметр 220 мм. Цвет черный. Должен  выдерживать удар с разрушительной энергией в 14000Дж. Класс защиты данного устройства IP67. Время полного открытия составляет 9 секунд. Боллард должен производить до 1000 циклов в час.</w:t>
            </w:r>
          </w:p>
          <w:p>
            <w:pPr>
              <w:pStyle w:val="Style20"/>
              <w:spacing w:before="0" w:after="283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Температурный диапазон работы составляет -45 до +60 градусов.</w:t>
            </w:r>
          </w:p>
          <w:p>
            <w:pPr>
              <w:pStyle w:val="Style20"/>
              <w:spacing w:before="0" w:after="283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Жгут проводов: предназначен для подключения боллардов к блоку управления и дальнейшего управления системой блокировки и регулирования проезда.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283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комплект</w:t>
            </w: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283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2</w:t>
            </w:r>
          </w:p>
        </w:tc>
      </w:tr>
      <w:tr>
        <w:trPr/>
        <w:tc>
          <w:tcPr>
            <w:tcW w:w="35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              </w:t>
            </w:r>
          </w:p>
          <w:p>
            <w:pPr>
              <w:pStyle w:val="Style20"/>
              <w:spacing w:before="0" w:after="283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Система парковочная, компл</w:t>
            </w:r>
          </w:p>
        </w:tc>
        <w:tc>
          <w:tcPr>
            <w:tcW w:w="521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283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Комплект: столб, фланец , закладная, крышка.</w:t>
            </w:r>
          </w:p>
          <w:p>
            <w:pPr>
              <w:pStyle w:val="Style20"/>
              <w:spacing w:before="0" w:after="283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Столб: Высота  700 мм, диаметр 220 мм. Выполнен из металла. Окрашен порошковой краской.</w:t>
            </w:r>
          </w:p>
          <w:p>
            <w:pPr>
              <w:pStyle w:val="Style20"/>
              <w:spacing w:before="0" w:after="283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Крышка. Внутренний диаметр 220 мм, материал чугунная. Предназначена как декоративный элемент столба.</w:t>
            </w:r>
          </w:p>
          <w:p>
            <w:pPr>
              <w:pStyle w:val="Style20"/>
              <w:spacing w:before="0" w:after="283"/>
              <w:rPr>
                <w:sz w:val="22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закладная: служит для крепления столба и установки декоративного фланца</w:t>
            </w: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z w:val="20"/>
              </w:rPr>
              <w:t>, 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материал сталь, квадратного сечения 300х300 мм с внутренним диаметром 220 мм.</w:t>
            </w:r>
          </w:p>
          <w:p>
            <w:pPr>
              <w:pStyle w:val="Style20"/>
              <w:spacing w:before="0" w:after="283"/>
              <w:rPr>
                <w:sz w:val="22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Фланец</w:t>
            </w:r>
            <w:r>
              <w:rPr>
                <w:caps w:val="false"/>
                <w:smallCaps w:val="false"/>
                <w:sz w:val="22"/>
              </w:rPr>
              <w:t> 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: Предназначен как декоративный элемент основания. Материал – чугун. Размер 300х300 мм.</w:t>
            </w:r>
          </w:p>
        </w:tc>
        <w:tc>
          <w:tcPr>
            <w:tcW w:w="1612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283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комплект</w:t>
            </w: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283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z w:val="20"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375" w:right="1121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aist.mos.ru/index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LibreOffice/5.1.6.2$Linux_X86_64 LibreOffice_project/10m0$Build-2</Application>
  <Pages>1</Pages>
  <Words>185</Words>
  <Characters>1250</Characters>
  <CharactersWithSpaces>1432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2019-11-22T17:11:40Z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