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3480"/>
        <w:gridCol w:w="3480"/>
        <w:gridCol w:w="603"/>
        <w:gridCol w:w="2897"/>
        <w:gridCol w:w="537"/>
        <w:gridCol w:w="3434"/>
        <w:gridCol w:w="1360"/>
      </w:tblGrid>
      <w:tr w:rsidR="00BC58C4" w:rsidTr="007D51FA">
        <w:trPr>
          <w:gridBefore w:val="1"/>
          <w:gridAfter w:val="3"/>
          <w:wBefore w:w="15" w:type="dxa"/>
          <w:wAfter w:w="5331" w:type="dxa"/>
          <w:trHeight w:val="888"/>
        </w:trPr>
        <w:tc>
          <w:tcPr>
            <w:tcW w:w="10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C58C4" w:rsidRDefault="00BC58C4" w:rsidP="00486E1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Акционерное общество</w:t>
            </w:r>
          </w:p>
          <w:p w:rsidR="00BC58C4" w:rsidRDefault="00BC58C4" w:rsidP="00486E1D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ГОРЕВСКИЙ ГОРНО-ОБОГАТИТЕЛЬНЫЙ </w:t>
            </w:r>
          </w:p>
          <w:p w:rsidR="00BC58C4" w:rsidRDefault="00BC58C4" w:rsidP="00486E1D">
            <w:pPr>
              <w:pStyle w:val="1"/>
              <w:rPr>
                <w:szCs w:val="24"/>
              </w:rPr>
            </w:pPr>
            <w:r>
              <w:rPr>
                <w:b w:val="0"/>
                <w:sz w:val="28"/>
                <w:szCs w:val="28"/>
              </w:rPr>
              <w:t>КОМБИНАТ</w:t>
            </w:r>
          </w:p>
        </w:tc>
      </w:tr>
      <w:tr w:rsidR="00BC58C4" w:rsidTr="007D51FA">
        <w:trPr>
          <w:gridBefore w:val="1"/>
          <w:gridAfter w:val="3"/>
          <w:wBefore w:w="15" w:type="dxa"/>
          <w:wAfter w:w="5331" w:type="dxa"/>
          <w:trHeight w:val="337"/>
        </w:trPr>
        <w:tc>
          <w:tcPr>
            <w:tcW w:w="10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C58C4" w:rsidRDefault="00BC58C4" w:rsidP="00486E1D">
            <w:pPr>
              <w:jc w:val="center"/>
            </w:pPr>
            <w:r>
              <w:rPr>
                <w:sz w:val="24"/>
                <w:szCs w:val="24"/>
              </w:rPr>
              <w:t>ИНН  2426000250 КПП   246750001 ОГРН 1022401504762 ОКПО 05785170</w:t>
            </w:r>
          </w:p>
        </w:tc>
      </w:tr>
      <w:tr w:rsidR="00BC58C4" w:rsidRPr="00E175F9" w:rsidTr="007D51FA">
        <w:trPr>
          <w:gridBefore w:val="1"/>
          <w:gridAfter w:val="3"/>
          <w:wBefore w:w="15" w:type="dxa"/>
          <w:wAfter w:w="5331" w:type="dxa"/>
          <w:trHeight w:val="1605"/>
        </w:trPr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auto"/>
          </w:tcPr>
          <w:p w:rsidR="00BC58C4" w:rsidRDefault="00BC58C4" w:rsidP="00486E1D">
            <w:r>
              <w:t xml:space="preserve">663412 п. </w:t>
            </w:r>
            <w:proofErr w:type="spellStart"/>
            <w:r>
              <w:t>Новоангарск</w:t>
            </w:r>
            <w:proofErr w:type="spellEnd"/>
          </w:p>
          <w:p w:rsidR="00BC58C4" w:rsidRDefault="00BC58C4" w:rsidP="00486E1D">
            <w:proofErr w:type="spellStart"/>
            <w:r>
              <w:t>Мотыгинского</w:t>
            </w:r>
            <w:proofErr w:type="spellEnd"/>
            <w:r>
              <w:t xml:space="preserve"> района</w:t>
            </w:r>
          </w:p>
          <w:p w:rsidR="00BC58C4" w:rsidRDefault="00BC58C4" w:rsidP="00486E1D">
            <w:r>
              <w:t>Красноярского края</w:t>
            </w:r>
          </w:p>
          <w:p w:rsidR="00BC58C4" w:rsidRDefault="00BC58C4" w:rsidP="00486E1D">
            <w:r>
              <w:t>ул. Набережная, 5</w:t>
            </w:r>
          </w:p>
          <w:p w:rsidR="00BC58C4" w:rsidRDefault="00BC58C4" w:rsidP="00486E1D">
            <w:r>
              <w:t>тел.: +7-3919-872068</w:t>
            </w:r>
          </w:p>
          <w:p w:rsidR="00BC58C4" w:rsidRPr="00794B48" w:rsidRDefault="00BC58C4" w:rsidP="00486E1D">
            <w:r>
              <w:t>факс: +7-3919-872068</w:t>
            </w:r>
          </w:p>
          <w:p w:rsidR="00BC58C4" w:rsidRDefault="00BC58C4" w:rsidP="00251E81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6" w:history="1">
              <w:r>
                <w:rPr>
                  <w:rStyle w:val="a7"/>
                </w:rPr>
                <w:t>novoangarsk@yandex.ru</w:t>
              </w:r>
            </w:hyperlink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</w:tcBorders>
            <w:shd w:val="clear" w:color="auto" w:fill="auto"/>
          </w:tcPr>
          <w:p w:rsidR="00BC58C4" w:rsidRDefault="00BC58C4" w:rsidP="00486E1D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3EB8C5B2" wp14:editId="518511A8">
                  <wp:extent cx="1181100" cy="6381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38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</w:tcPr>
          <w:p w:rsidR="00E175F9" w:rsidRDefault="00E175F9" w:rsidP="00E175F9">
            <w:pPr>
              <w:spacing w:line="228" w:lineRule="auto"/>
              <w:jc w:val="right"/>
            </w:pPr>
            <w:r>
              <w:t>Почтовый адрес:</w:t>
            </w:r>
          </w:p>
          <w:p w:rsidR="00E175F9" w:rsidRPr="00D459BF" w:rsidRDefault="00E175F9" w:rsidP="00E175F9">
            <w:pPr>
              <w:spacing w:line="228" w:lineRule="auto"/>
              <w:jc w:val="right"/>
            </w:pPr>
            <w:r>
              <w:t xml:space="preserve">660125,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</w:t>
            </w:r>
            <w:proofErr w:type="spellEnd"/>
          </w:p>
          <w:p w:rsidR="00E175F9" w:rsidRDefault="00E175F9" w:rsidP="00E175F9">
            <w:pPr>
              <w:spacing w:line="228" w:lineRule="auto"/>
              <w:jc w:val="right"/>
            </w:pPr>
            <w:r>
              <w:t>а/я 27584</w:t>
            </w:r>
          </w:p>
          <w:p w:rsidR="00BC58C4" w:rsidRDefault="00BC58C4" w:rsidP="00486E1D">
            <w:pPr>
              <w:jc w:val="right"/>
              <w:rPr>
                <w:lang w:val="de-DE"/>
              </w:rPr>
            </w:pPr>
            <w:r>
              <w:t xml:space="preserve"> тел</w:t>
            </w:r>
            <w:r>
              <w:rPr>
                <w:lang w:val="de-DE"/>
              </w:rPr>
              <w:t>.: +7-391-21</w:t>
            </w:r>
            <w:r w:rsidR="00E175F9">
              <w:rPr>
                <w:lang w:val="de-DE"/>
              </w:rPr>
              <w:t>9-31-31</w:t>
            </w:r>
          </w:p>
          <w:p w:rsidR="00BC58C4" w:rsidRDefault="00BC58C4" w:rsidP="00486E1D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 xml:space="preserve">             </w:t>
            </w:r>
            <w:r>
              <w:t>факс</w:t>
            </w:r>
            <w:r>
              <w:rPr>
                <w:lang w:val="de-DE"/>
              </w:rPr>
              <w:t>: +7-391-2</w:t>
            </w:r>
            <w:r w:rsidR="00E175F9">
              <w:rPr>
                <w:lang w:val="de-DE"/>
              </w:rPr>
              <w:t>19-3</w:t>
            </w:r>
            <w:r>
              <w:rPr>
                <w:lang w:val="de-DE"/>
              </w:rPr>
              <w:t>5-</w:t>
            </w:r>
            <w:r w:rsidR="00632B3E">
              <w:rPr>
                <w:lang w:val="de-DE"/>
              </w:rPr>
              <w:t>6</w:t>
            </w:r>
            <w:r w:rsidR="00E175F9">
              <w:rPr>
                <w:lang w:val="de-DE"/>
              </w:rPr>
              <w:t>4</w:t>
            </w:r>
          </w:p>
          <w:p w:rsidR="00BC58C4" w:rsidRPr="00E175F9" w:rsidRDefault="00BC58C4" w:rsidP="00486E1D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r w:rsidR="00E175F9">
              <w:rPr>
                <w:lang w:val="en-US"/>
              </w:rPr>
              <w:t>info@</w:t>
            </w:r>
            <w:hyperlink r:id="rId8" w:history="1">
              <w:r w:rsidRPr="00E175F9">
                <w:rPr>
                  <w:rStyle w:val="a7"/>
                  <w:lang w:val="en-US"/>
                </w:rPr>
                <w:t>goknok</w:t>
              </w:r>
            </w:hyperlink>
            <w:r w:rsidR="00E175F9">
              <w:rPr>
                <w:rStyle w:val="a7"/>
                <w:lang w:val="en-US"/>
              </w:rPr>
              <w:t>.ru</w:t>
            </w:r>
          </w:p>
          <w:p w:rsidR="00BC58C4" w:rsidRDefault="00BC58C4" w:rsidP="00486E1D">
            <w:pPr>
              <w:jc w:val="right"/>
              <w:rPr>
                <w:lang w:val="de-DE"/>
              </w:rPr>
            </w:pPr>
          </w:p>
        </w:tc>
      </w:tr>
      <w:tr w:rsidR="00BC58C4" w:rsidRPr="00E175F9" w:rsidTr="00251E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78" w:type="dxa"/>
            <w:gridSpan w:val="4"/>
            <w:shd w:val="clear" w:color="auto" w:fill="auto"/>
            <w:noWrap/>
            <w:vAlign w:val="bottom"/>
          </w:tcPr>
          <w:p w:rsidR="00BC58C4" w:rsidRPr="00251E81" w:rsidRDefault="00251E81" w:rsidP="00004B35">
            <w:pPr>
              <w:pStyle w:val="Style2"/>
              <w:widowControl/>
              <w:spacing w:line="230" w:lineRule="auto"/>
              <w:jc w:val="left"/>
              <w:rPr>
                <w:b/>
                <w:bCs/>
              </w:rPr>
            </w:pPr>
            <w:r w:rsidRPr="002B3F0B">
              <w:t>Исх</w:t>
            </w:r>
            <w:r w:rsidRPr="002B3F0B">
              <w:t xml:space="preserve">. </w:t>
            </w:r>
            <w:r w:rsidRPr="002B3F0B">
              <w:t>№</w:t>
            </w:r>
            <w:r w:rsidRPr="002B3F0B">
              <w:t xml:space="preserve"> </w:t>
            </w:r>
            <w:r w:rsidR="00FC4B6B">
              <w:t>68</w:t>
            </w:r>
            <w:r w:rsidR="009A7BDF">
              <w:t>1</w:t>
            </w:r>
            <w:r w:rsidRPr="002B3F0B">
              <w:t xml:space="preserve"> </w:t>
            </w:r>
            <w:r w:rsidRPr="002B3F0B">
              <w:t>от</w:t>
            </w:r>
            <w:r w:rsidRPr="002B3F0B">
              <w:t xml:space="preserve"> </w:t>
            </w:r>
            <w:r w:rsidR="00004B35">
              <w:t>26</w:t>
            </w:r>
            <w:r w:rsidRPr="002B3F0B">
              <w:t>.</w:t>
            </w:r>
            <w:r>
              <w:t>12</w:t>
            </w:r>
            <w:r w:rsidRPr="002B3F0B">
              <w:t>.2019</w:t>
            </w:r>
            <w:r w:rsidRPr="002B3F0B">
              <w:t>г</w:t>
            </w:r>
            <w:r w:rsidRPr="002B3F0B">
              <w:t>.</w:t>
            </w:r>
          </w:p>
        </w:tc>
        <w:tc>
          <w:tcPr>
            <w:tcW w:w="3434" w:type="dxa"/>
            <w:gridSpan w:val="2"/>
          </w:tcPr>
          <w:p w:rsidR="00251E81" w:rsidRPr="002B3F0B" w:rsidRDefault="00251E81" w:rsidP="00251E81">
            <w:pPr>
              <w:pStyle w:val="Style2"/>
              <w:widowControl/>
              <w:spacing w:line="230" w:lineRule="auto"/>
              <w:jc w:val="left"/>
              <w:rPr>
                <w:rStyle w:val="FontStyle109"/>
                <w:rFonts w:ascii="Times New Roman" w:hAnsi="Times New Roman" w:cs="Times New Roman"/>
                <w:bCs/>
                <w:sz w:val="24"/>
              </w:rPr>
            </w:pPr>
            <w:r w:rsidRPr="002B3F0B">
              <w:rPr>
                <w:rStyle w:val="FontStyle109"/>
                <w:rFonts w:ascii="Times New Roman" w:hAnsi="Times New Roman" w:cs="Times New Roman"/>
                <w:bCs/>
                <w:sz w:val="24"/>
              </w:rPr>
              <w:t>Вниманию руководителей</w:t>
            </w:r>
          </w:p>
          <w:p w:rsidR="00BC58C4" w:rsidRPr="00E175F9" w:rsidRDefault="00BC58C4" w:rsidP="00486E1D">
            <w:pPr>
              <w:spacing w:line="228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34" w:type="dxa"/>
            <w:shd w:val="clear" w:color="auto" w:fill="auto"/>
            <w:noWrap/>
            <w:vAlign w:val="bottom"/>
          </w:tcPr>
          <w:p w:rsidR="00BC58C4" w:rsidRPr="00E175F9" w:rsidRDefault="00BC58C4" w:rsidP="00486E1D">
            <w:pPr>
              <w:spacing w:line="228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C58C4" w:rsidRPr="00E175F9" w:rsidRDefault="00BC58C4" w:rsidP="00486E1D">
            <w:pPr>
              <w:spacing w:line="228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B7358F" w:rsidRPr="002B3F0B" w:rsidTr="00251E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78" w:type="dxa"/>
            <w:gridSpan w:val="4"/>
            <w:shd w:val="clear" w:color="auto" w:fill="auto"/>
            <w:noWrap/>
            <w:vAlign w:val="bottom"/>
            <w:hideMark/>
          </w:tcPr>
          <w:p w:rsidR="00B7358F" w:rsidRPr="002B3F0B" w:rsidRDefault="00251E81" w:rsidP="00251E81">
            <w:pPr>
              <w:spacing w:line="23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FontStyle109"/>
                <w:rFonts w:ascii="Times New Roman" w:hAnsi="Times New Roman"/>
                <w:bCs/>
                <w:sz w:val="24"/>
              </w:rPr>
              <w:t xml:space="preserve">                                              </w:t>
            </w:r>
            <w:r w:rsidRPr="002B3F0B">
              <w:rPr>
                <w:rStyle w:val="FontStyle109"/>
                <w:rFonts w:ascii="Times New Roman" w:hAnsi="Times New Roman"/>
                <w:bCs/>
                <w:sz w:val="24"/>
              </w:rPr>
              <w:t>Уважаемые господа!</w:t>
            </w:r>
          </w:p>
        </w:tc>
        <w:tc>
          <w:tcPr>
            <w:tcW w:w="3434" w:type="dxa"/>
            <w:gridSpan w:val="2"/>
          </w:tcPr>
          <w:p w:rsidR="00B7358F" w:rsidRPr="002B3F0B" w:rsidRDefault="00B7358F" w:rsidP="00FA3340">
            <w:pPr>
              <w:spacing w:line="23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  <w:noWrap/>
            <w:vAlign w:val="bottom"/>
            <w:hideMark/>
          </w:tcPr>
          <w:p w:rsidR="00B7358F" w:rsidRPr="002B3F0B" w:rsidRDefault="00B7358F" w:rsidP="00FA3340">
            <w:pPr>
              <w:spacing w:line="23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7358F" w:rsidRPr="002B3F0B" w:rsidRDefault="00B7358F" w:rsidP="00FA3340">
            <w:pPr>
              <w:spacing w:line="23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11E16" w:rsidRDefault="00711E16" w:rsidP="00FA3340">
      <w:pPr>
        <w:pStyle w:val="Style2"/>
        <w:widowControl/>
        <w:spacing w:line="230" w:lineRule="auto"/>
        <w:ind w:firstLine="720"/>
        <w:jc w:val="center"/>
        <w:rPr>
          <w:rStyle w:val="FontStyle109"/>
          <w:rFonts w:ascii="Times New Roman" w:hAnsi="Times New Roman" w:cs="Times New Roman"/>
          <w:bCs/>
          <w:sz w:val="24"/>
        </w:rPr>
      </w:pPr>
    </w:p>
    <w:p w:rsidR="007D51FA" w:rsidRPr="00BD6A5B" w:rsidRDefault="007D51FA" w:rsidP="007D51FA">
      <w:pPr>
        <w:spacing w:line="216" w:lineRule="auto"/>
        <w:jc w:val="both"/>
        <w:rPr>
          <w:rStyle w:val="FontStyle77"/>
          <w:rFonts w:ascii="Times New Roman" w:hAnsi="Times New Roman"/>
          <w:sz w:val="20"/>
        </w:rPr>
      </w:pPr>
      <w:r w:rsidRPr="002B3F0B">
        <w:rPr>
          <w:rStyle w:val="FontStyle77"/>
          <w:rFonts w:ascii="Times New Roman" w:hAnsi="Times New Roman"/>
          <w:sz w:val="24"/>
          <w:szCs w:val="24"/>
        </w:rPr>
        <w:t xml:space="preserve">           </w:t>
      </w:r>
      <w:r w:rsidRPr="00BD6A5B">
        <w:rPr>
          <w:rStyle w:val="FontStyle77"/>
          <w:rFonts w:ascii="Times New Roman" w:hAnsi="Times New Roman"/>
          <w:sz w:val="20"/>
        </w:rPr>
        <w:t xml:space="preserve">Сообщаем Вам, что </w:t>
      </w:r>
      <w:r w:rsidR="00251E81">
        <w:rPr>
          <w:rStyle w:val="FontStyle77"/>
          <w:rFonts w:ascii="Times New Roman" w:hAnsi="Times New Roman"/>
          <w:sz w:val="20"/>
        </w:rPr>
        <w:t>А</w:t>
      </w:r>
      <w:r w:rsidRPr="00BD6A5B">
        <w:rPr>
          <w:rStyle w:val="FontStyle77"/>
          <w:rFonts w:ascii="Times New Roman" w:hAnsi="Times New Roman"/>
          <w:sz w:val="20"/>
        </w:rPr>
        <w:t>О «</w:t>
      </w:r>
      <w:proofErr w:type="spellStart"/>
      <w:r w:rsidR="00251E81">
        <w:rPr>
          <w:rStyle w:val="FontStyle77"/>
          <w:rFonts w:ascii="Times New Roman" w:hAnsi="Times New Roman"/>
          <w:sz w:val="20"/>
        </w:rPr>
        <w:t>Горевский</w:t>
      </w:r>
      <w:proofErr w:type="spellEnd"/>
      <w:r w:rsidR="00251E81">
        <w:rPr>
          <w:rStyle w:val="FontStyle77"/>
          <w:rFonts w:ascii="Times New Roman" w:hAnsi="Times New Roman"/>
          <w:sz w:val="20"/>
        </w:rPr>
        <w:t xml:space="preserve"> ГОК</w:t>
      </w:r>
      <w:r w:rsidRPr="00BD6A5B">
        <w:rPr>
          <w:rStyle w:val="FontStyle77"/>
          <w:rFonts w:ascii="Times New Roman" w:hAnsi="Times New Roman"/>
          <w:sz w:val="20"/>
        </w:rPr>
        <w:t xml:space="preserve">» </w:t>
      </w:r>
      <w:r w:rsidRPr="00BD6A5B">
        <w:rPr>
          <w:rStyle w:val="FontStyle79"/>
          <w:rFonts w:ascii="Times New Roman" w:hAnsi="Times New Roman"/>
          <w:i w:val="0"/>
          <w:iCs/>
          <w:sz w:val="20"/>
        </w:rPr>
        <w:t>проводит</w:t>
      </w:r>
      <w:r w:rsidRPr="00BD6A5B">
        <w:rPr>
          <w:rStyle w:val="FontStyle77"/>
          <w:rFonts w:ascii="Times New Roman" w:hAnsi="Times New Roman"/>
          <w:i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>процедуру выбора поставщика</w:t>
      </w:r>
      <w:r w:rsidR="00FC4B6B">
        <w:rPr>
          <w:rStyle w:val="FontStyle77"/>
          <w:rFonts w:ascii="Times New Roman" w:hAnsi="Times New Roman"/>
          <w:sz w:val="20"/>
        </w:rPr>
        <w:t xml:space="preserve"> </w:t>
      </w:r>
      <w:r w:rsidR="009A7BDF">
        <w:rPr>
          <w:rStyle w:val="FontStyle77"/>
          <w:rFonts w:ascii="Times New Roman" w:hAnsi="Times New Roman"/>
          <w:sz w:val="20"/>
        </w:rPr>
        <w:t>оборудования для обслуживания и ремонта подвижного состава</w:t>
      </w:r>
      <w:r w:rsidR="00251E81">
        <w:rPr>
          <w:rStyle w:val="FontStyle77"/>
          <w:rFonts w:ascii="Times New Roman" w:hAnsi="Times New Roman"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 (далее по тексту ТМЦ) в количестве и номенклатуре </w:t>
      </w:r>
      <w:r w:rsidRPr="00CD71DE">
        <w:rPr>
          <w:rStyle w:val="FontStyle77"/>
          <w:rFonts w:ascii="Times New Roman" w:hAnsi="Times New Roman"/>
          <w:b/>
          <w:sz w:val="20"/>
        </w:rPr>
        <w:t>согласно Приложению 1</w:t>
      </w:r>
      <w:r w:rsidRPr="00BD6A5B">
        <w:rPr>
          <w:rStyle w:val="FontStyle79"/>
          <w:rFonts w:ascii="Times New Roman" w:hAnsi="Times New Roman"/>
          <w:iCs/>
          <w:sz w:val="20"/>
        </w:rPr>
        <w:t xml:space="preserve"> </w:t>
      </w:r>
      <w:r w:rsidRPr="00BD6A5B">
        <w:rPr>
          <w:rStyle w:val="FontStyle77"/>
          <w:rFonts w:ascii="Times New Roman" w:hAnsi="Times New Roman"/>
          <w:sz w:val="20"/>
        </w:rPr>
        <w:t xml:space="preserve">и приглашает Вас принять участие в указанной процедуре. </w:t>
      </w:r>
    </w:p>
    <w:p w:rsidR="007D51FA" w:rsidRPr="00BD6A5B" w:rsidRDefault="007D51FA" w:rsidP="007D51FA">
      <w:pPr>
        <w:pStyle w:val="Style60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b/>
          <w:iCs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Для участия в процедуре Вам необходимо предоставить технико-коммерческое предложение по форме </w:t>
      </w:r>
      <w:r w:rsidRPr="00CD71DE">
        <w:rPr>
          <w:rStyle w:val="FontStyle77"/>
          <w:rFonts w:ascii="Times New Roman" w:hAnsi="Times New Roman" w:cs="Times New Roman"/>
          <w:b/>
          <w:sz w:val="20"/>
          <w:szCs w:val="20"/>
        </w:rPr>
        <w:t>согласно Приложению 2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к настоящему </w:t>
      </w:r>
      <w:r>
        <w:rPr>
          <w:rStyle w:val="FontStyle77"/>
          <w:rFonts w:ascii="Times New Roman" w:hAnsi="Times New Roman" w:cs="Times New Roman"/>
          <w:sz w:val="20"/>
          <w:szCs w:val="20"/>
        </w:rPr>
        <w:t>извещению</w:t>
      </w: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 xml:space="preserve"> в срок не позднее </w:t>
      </w:r>
      <w:r w:rsidRPr="00BD6A5B">
        <w:rPr>
          <w:rStyle w:val="FontStyle77"/>
          <w:rFonts w:ascii="Times New Roman" w:hAnsi="Times New Roman" w:cs="Times New Roman"/>
          <w:b/>
          <w:sz w:val="20"/>
          <w:szCs w:val="20"/>
        </w:rPr>
        <w:t>06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 xml:space="preserve">.00 (Московское время)  </w:t>
      </w:r>
      <w:r w:rsidR="00004B35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15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.</w:t>
      </w:r>
      <w:r w:rsidR="00004B35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0</w:t>
      </w:r>
      <w:r w:rsidR="00777954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1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.20</w:t>
      </w:r>
      <w:r w:rsidR="00777954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>20</w:t>
      </w:r>
      <w:r w:rsidRPr="00BD6A5B">
        <w:rPr>
          <w:rStyle w:val="FontStyle79"/>
          <w:rFonts w:ascii="Times New Roman" w:hAnsi="Times New Roman" w:cs="Times New Roman"/>
          <w:b/>
          <w:i w:val="0"/>
          <w:iCs/>
          <w:sz w:val="20"/>
          <w:szCs w:val="20"/>
        </w:rPr>
        <w:t xml:space="preserve"> г</w:t>
      </w:r>
      <w:r w:rsidRPr="00BD6A5B">
        <w:rPr>
          <w:rStyle w:val="FontStyle79"/>
          <w:rFonts w:ascii="Times New Roman" w:hAnsi="Times New Roman" w:cs="Times New Roman"/>
          <w:b/>
          <w:iCs/>
          <w:sz w:val="20"/>
          <w:szCs w:val="20"/>
        </w:rPr>
        <w:t>.</w:t>
      </w:r>
    </w:p>
    <w:p w:rsidR="007D51FA" w:rsidRPr="00BD6A5B" w:rsidRDefault="007D51FA" w:rsidP="007D51FA">
      <w:pPr>
        <w:pStyle w:val="Style60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BD6A5B">
        <w:rPr>
          <w:rStyle w:val="FontStyle77"/>
          <w:rFonts w:ascii="Times New Roman" w:hAnsi="Times New Roman" w:cs="Times New Roman"/>
          <w:sz w:val="20"/>
          <w:szCs w:val="20"/>
        </w:rPr>
        <w:t>Участник, признанный по итогам процедуры победителем, если такой будет определен, обязан в срок до заключения договора пройти обязательную квалификацию.</w:t>
      </w:r>
    </w:p>
    <w:p w:rsidR="007D51FA" w:rsidRPr="00F611E6" w:rsidRDefault="007D51FA" w:rsidP="007D51FA">
      <w:pPr>
        <w:pStyle w:val="Style22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proofErr w:type="gramStart"/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Данная закупочная процедура является установленной Обществом процедурой выбора лица (юридического лица или индивидуального предпринимателя) - победителя, для ведения с ним переговоров по согласованию существенных и иных условий договора соответствующего вида в целях последующего заключения договора.</w:t>
      </w:r>
      <w:proofErr w:type="gramEnd"/>
    </w:p>
    <w:p w:rsidR="007D51FA" w:rsidRPr="00F611E6" w:rsidRDefault="007D51FA" w:rsidP="007D51FA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Закупочные процедуры не являются торгами, их проведение не регулируется статьями 447 - 449 Гражданского кодекса РФ. Данные процедуры так же не являются публичным конкурсом и не регулируются статьями 1057 - 1061 Гражданского кодекса РФ, что не накладывает на Общество соответствующего объема гражданско-правовых обязательств по обязательному заключению договора с победителем закупочной процедуры или иным ее Участником.</w:t>
      </w:r>
    </w:p>
    <w:p w:rsidR="007D51FA" w:rsidRPr="00F611E6" w:rsidRDefault="007D51FA" w:rsidP="007D51FA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Участник процедуры за свой счет несет все расходы, связанные с подготовкой и подачей необходимых документов на участие. Общество не имеет обязательств по возмещению участникам тендера понесенных ими расходов и любых других издержек, связанных с подготовкой к участию и участием в тендере (реального ущерба), и упущенной выгоды независимо от результатов процедуры.</w:t>
      </w:r>
    </w:p>
    <w:p w:rsidR="007D51FA" w:rsidRPr="00F611E6" w:rsidRDefault="007D51FA" w:rsidP="007D51FA">
      <w:pPr>
        <w:pStyle w:val="Style22"/>
        <w:widowControl/>
        <w:spacing w:before="5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Победитель процедуры за свой счет несет все расходы, связанные с проведением переговоров с Обществом по согласованию существенных и иных условий договора соответствующего вида, а Общество не имеет обязательств по возмещению победителю понесенных им расходов и любых других издержек, связанных с ведением переговоров (реального ущерба), и упущенной выгоды независимо от результатов переговоров.</w:t>
      </w:r>
    </w:p>
    <w:p w:rsidR="007D51FA" w:rsidRPr="00F611E6" w:rsidRDefault="007D51FA" w:rsidP="007D51FA">
      <w:pPr>
        <w:pStyle w:val="Style22"/>
        <w:widowControl/>
        <w:spacing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F611E6">
        <w:rPr>
          <w:rStyle w:val="FontStyle77"/>
          <w:rFonts w:ascii="Times New Roman" w:hAnsi="Times New Roman" w:cs="Times New Roman"/>
          <w:sz w:val="20"/>
          <w:szCs w:val="20"/>
        </w:rPr>
        <w:t xml:space="preserve">В случае </w:t>
      </w:r>
      <w:proofErr w:type="spellStart"/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F611E6">
        <w:rPr>
          <w:rStyle w:val="FontStyle77"/>
          <w:rFonts w:ascii="Times New Roman" w:hAnsi="Times New Roman" w:cs="Times New Roman"/>
          <w:sz w:val="20"/>
          <w:szCs w:val="20"/>
        </w:rPr>
        <w:t xml:space="preserve"> соглашения по условиям договора Общество вправе не заключать договор с победителем процедуры. Общество вправе на любом этапе отказаться от проведения закупочной процедуры, ведения переговоров и/или заключения договора, направив уведомление об этом участникам или победителю, либо </w:t>
      </w:r>
      <w:proofErr w:type="gramStart"/>
      <w:r w:rsidRPr="00F611E6">
        <w:rPr>
          <w:rStyle w:val="FontStyle77"/>
          <w:rFonts w:ascii="Times New Roman" w:hAnsi="Times New Roman" w:cs="Times New Roman"/>
          <w:sz w:val="20"/>
          <w:szCs w:val="20"/>
        </w:rPr>
        <w:t>разместив</w:t>
      </w:r>
      <w:proofErr w:type="gramEnd"/>
      <w:r w:rsidRPr="00F611E6">
        <w:rPr>
          <w:rStyle w:val="FontStyle77"/>
          <w:rFonts w:ascii="Times New Roman" w:hAnsi="Times New Roman" w:cs="Times New Roman"/>
          <w:sz w:val="20"/>
          <w:szCs w:val="20"/>
        </w:rPr>
        <w:t xml:space="preserve"> соответствующее сообщение на официальном сайте. При этом Общество не имеет обязательств по возмещению участникам или победителю понесенных ими расходов и любых других издержек (реального ущерба) и упущенной выгоды.</w:t>
      </w:r>
    </w:p>
    <w:p w:rsidR="007D51FA" w:rsidRPr="00387815" w:rsidRDefault="007D51FA" w:rsidP="007D51FA">
      <w:pPr>
        <w:pStyle w:val="Style22"/>
        <w:widowControl/>
        <w:spacing w:before="67" w:line="216" w:lineRule="auto"/>
        <w:ind w:firstLine="720"/>
        <w:rPr>
          <w:rStyle w:val="FontStyle77"/>
          <w:rFonts w:ascii="Times New Roman" w:hAnsi="Times New Roman" w:cs="Times New Roman"/>
          <w:b/>
          <w:sz w:val="20"/>
          <w:szCs w:val="20"/>
        </w:rPr>
      </w:pPr>
      <w:r w:rsidRPr="00387815">
        <w:rPr>
          <w:rStyle w:val="FontStyle77"/>
          <w:rFonts w:ascii="Times New Roman" w:hAnsi="Times New Roman" w:cs="Times New Roman"/>
          <w:b/>
          <w:sz w:val="20"/>
          <w:szCs w:val="20"/>
        </w:rPr>
        <w:t>Основные правила проведения процедуры:</w:t>
      </w:r>
    </w:p>
    <w:p w:rsidR="007D51FA" w:rsidRPr="00387815" w:rsidRDefault="007D51FA" w:rsidP="007D51FA">
      <w:pPr>
        <w:pStyle w:val="Style22"/>
        <w:widowControl/>
        <w:spacing w:before="67" w:line="216" w:lineRule="auto"/>
        <w:ind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387815">
        <w:rPr>
          <w:rStyle w:val="FontStyle77"/>
          <w:rFonts w:ascii="Times New Roman" w:hAnsi="Times New Roman" w:cs="Times New Roman"/>
          <w:sz w:val="20"/>
          <w:szCs w:val="20"/>
        </w:rPr>
        <w:t>Предложения, поступившие после даты окончания приема технико-коммерческого  предложения, указанной выше, к рассмотрению  допускаться не будет. Предложения, не оформленные надлежащим образом, не представленные по форме и/или не содержащие полного комплекта документов, также могут быть не рассмотрены.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09"/>
        <w:rPr>
          <w:rStyle w:val="FontStyle77"/>
          <w:rFonts w:ascii="Times New Roman" w:hAnsi="Times New Roman" w:cs="Times New Roman"/>
          <w:b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b/>
          <w:i w:val="0"/>
          <w:sz w:val="20"/>
          <w:szCs w:val="20"/>
        </w:rPr>
        <w:t>Обращаем Ваше внимание на тот факт, что заявка на участие в процедуре на поставку ТМЦ для нужд</w:t>
      </w:r>
      <w:r w:rsidRPr="003878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1E81" w:rsidRPr="00387815">
        <w:rPr>
          <w:rFonts w:ascii="Times New Roman" w:hAnsi="Times New Roman" w:cs="Times New Roman"/>
          <w:b/>
          <w:sz w:val="20"/>
          <w:szCs w:val="20"/>
        </w:rPr>
        <w:t>А</w:t>
      </w:r>
      <w:r w:rsidRPr="00387815">
        <w:rPr>
          <w:rFonts w:ascii="Times New Roman" w:hAnsi="Times New Roman" w:cs="Times New Roman"/>
          <w:b/>
          <w:sz w:val="20"/>
          <w:szCs w:val="20"/>
        </w:rPr>
        <w:t>О «</w:t>
      </w:r>
      <w:proofErr w:type="spellStart"/>
      <w:r w:rsidR="009A7BDF" w:rsidRPr="00387815">
        <w:rPr>
          <w:rFonts w:ascii="Times New Roman" w:hAnsi="Times New Roman" w:cs="Times New Roman"/>
          <w:b/>
          <w:sz w:val="20"/>
          <w:szCs w:val="20"/>
        </w:rPr>
        <w:t>Горевский</w:t>
      </w:r>
      <w:proofErr w:type="spellEnd"/>
      <w:r w:rsidR="009A7BDF" w:rsidRPr="00387815">
        <w:rPr>
          <w:rFonts w:ascii="Times New Roman" w:hAnsi="Times New Roman" w:cs="Times New Roman"/>
          <w:b/>
          <w:sz w:val="20"/>
          <w:szCs w:val="20"/>
        </w:rPr>
        <w:t xml:space="preserve"> ГОК»</w:t>
      </w:r>
      <w:r w:rsidRPr="00387815">
        <w:rPr>
          <w:rFonts w:ascii="Times New Roman" w:hAnsi="Times New Roman" w:cs="Times New Roman"/>
          <w:b/>
          <w:sz w:val="20"/>
          <w:szCs w:val="20"/>
        </w:rPr>
        <w:t xml:space="preserve"> подается только посредством официального сайта предприятия в информационно-телекоммуникационной сети интернет после прохождения процедуры регистрации по адресу -</w:t>
      </w:r>
      <w:r w:rsidRPr="00387815">
        <w:rPr>
          <w:rStyle w:val="FontStyle79"/>
          <w:rFonts w:ascii="Times New Roman" w:hAnsi="Times New Roman" w:cs="Times New Roman"/>
          <w:b/>
          <w:i w:val="0"/>
          <w:sz w:val="20"/>
          <w:szCs w:val="20"/>
        </w:rPr>
        <w:t>http://nokgroup.ru/profile/register. Все предложения, поданные иным способом, рассматриваться не будут.</w:t>
      </w:r>
      <w:r w:rsidRPr="00387815">
        <w:rPr>
          <w:rStyle w:val="FontStyle77"/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bCs/>
          <w:sz w:val="20"/>
          <w:szCs w:val="20"/>
        </w:rPr>
      </w:pPr>
      <w:r w:rsidRPr="00387815">
        <w:rPr>
          <w:rStyle w:val="FontStyle109"/>
          <w:rFonts w:ascii="Times New Roman" w:hAnsi="Times New Roman" w:cs="Times New Roman"/>
          <w:bCs/>
          <w:sz w:val="20"/>
          <w:szCs w:val="20"/>
        </w:rPr>
        <w:t xml:space="preserve">Критерии выбора лучшего предложения: 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387815">
        <w:rPr>
          <w:rStyle w:val="FontStyle109"/>
          <w:rFonts w:ascii="Times New Roman" w:hAnsi="Times New Roman" w:cs="Times New Roman"/>
          <w:bCs/>
          <w:sz w:val="20"/>
          <w:szCs w:val="20"/>
        </w:rPr>
        <w:t xml:space="preserve"> - </w:t>
      </w: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стоимость ТМЦ;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- требуемые условия оплаты ТМЦ (по факту поставки товара в течение 10 рабочих дней);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- сроки и базис поставки ( 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г</w:t>
      </w:r>
      <w:proofErr w:type="gram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.К</w:t>
      </w:r>
      <w:proofErr w:type="gram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расноярск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, 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ул.Пограничников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, 44, стр.3);</w:t>
      </w:r>
    </w:p>
    <w:p w:rsidR="00251E81" w:rsidRPr="00387815" w:rsidRDefault="00251E81" w:rsidP="007D51FA">
      <w:pPr>
        <w:pStyle w:val="Style68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iCs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-гарантийный срок.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720"/>
        <w:rPr>
          <w:rStyle w:val="FontStyle109"/>
          <w:rFonts w:ascii="Times New Roman" w:hAnsi="Times New Roman" w:cs="Times New Roman"/>
          <w:iCs/>
          <w:sz w:val="20"/>
          <w:szCs w:val="20"/>
        </w:rPr>
      </w:pPr>
      <w:r w:rsidRPr="00387815">
        <w:rPr>
          <w:rStyle w:val="FontStyle109"/>
          <w:rFonts w:ascii="Times New Roman" w:hAnsi="Times New Roman" w:cs="Times New Roman"/>
          <w:bCs/>
          <w:sz w:val="20"/>
          <w:szCs w:val="20"/>
        </w:rPr>
        <w:t>Дополнительные требования к Участникам:</w:t>
      </w:r>
    </w:p>
    <w:p w:rsidR="007D51FA" w:rsidRPr="00387815" w:rsidRDefault="007D51FA" w:rsidP="007D51FA">
      <w:pPr>
        <w:pStyle w:val="Style68"/>
        <w:widowControl/>
        <w:numPr>
          <w:ilvl w:val="0"/>
          <w:numId w:val="4"/>
        </w:numPr>
        <w:spacing w:line="216" w:lineRule="auto"/>
        <w:ind w:left="0" w:firstLine="720"/>
        <w:rPr>
          <w:rStyle w:val="FontStyle77"/>
          <w:rFonts w:ascii="Times New Roman" w:hAnsi="Times New Roman" w:cs="Times New Roman"/>
          <w:sz w:val="20"/>
          <w:szCs w:val="20"/>
        </w:rPr>
      </w:pPr>
      <w:r w:rsidRPr="00387815">
        <w:rPr>
          <w:rStyle w:val="FontStyle77"/>
          <w:rFonts w:ascii="Times New Roman" w:hAnsi="Times New Roman" w:cs="Times New Roman"/>
          <w:sz w:val="20"/>
          <w:szCs w:val="20"/>
        </w:rPr>
        <w:t>согласие со стандартными условиями типовой формы договора;</w:t>
      </w:r>
    </w:p>
    <w:p w:rsidR="007D51FA" w:rsidRPr="00387815" w:rsidRDefault="007D51FA" w:rsidP="007D51FA">
      <w:pPr>
        <w:pStyle w:val="Style68"/>
        <w:widowControl/>
        <w:numPr>
          <w:ilvl w:val="0"/>
          <w:numId w:val="4"/>
        </w:numPr>
        <w:spacing w:line="216" w:lineRule="auto"/>
        <w:ind w:left="0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прохождение обязательной квалификации участников;</w:t>
      </w:r>
    </w:p>
    <w:p w:rsidR="007D51FA" w:rsidRPr="00387815" w:rsidRDefault="007D51FA" w:rsidP="007D51FA">
      <w:pPr>
        <w:pStyle w:val="Style68"/>
        <w:widowControl/>
        <w:numPr>
          <w:ilvl w:val="0"/>
          <w:numId w:val="4"/>
        </w:numPr>
        <w:spacing w:line="216" w:lineRule="auto"/>
        <w:ind w:left="0" w:firstLine="720"/>
        <w:rPr>
          <w:rStyle w:val="FontStyle79"/>
          <w:rFonts w:ascii="Times New Roman" w:hAnsi="Times New Roman" w:cs="Times New Roman"/>
          <w:i w:val="0"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коммерческие предложения, оформленные ненадлежащим образом </w:t>
      </w:r>
      <w:proofErr w:type="gram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( </w:t>
      </w:r>
      <w:proofErr w:type="gram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в том числе без печати и подписи руководителя)  в работу приниматься не будут </w:t>
      </w:r>
    </w:p>
    <w:p w:rsidR="007D51FA" w:rsidRPr="00387815" w:rsidRDefault="007D51FA" w:rsidP="007D51FA">
      <w:pPr>
        <w:pStyle w:val="Style68"/>
        <w:widowControl/>
        <w:spacing w:line="216" w:lineRule="auto"/>
        <w:ind w:firstLine="567"/>
        <w:rPr>
          <w:rStyle w:val="FontStyle77"/>
          <w:rFonts w:ascii="Times New Roman" w:hAnsi="Times New Roman" w:cs="Times New Roman"/>
          <w:sz w:val="20"/>
          <w:szCs w:val="20"/>
        </w:rPr>
      </w:pPr>
      <w:r w:rsidRPr="00387815">
        <w:rPr>
          <w:rStyle w:val="FontStyle77"/>
          <w:rFonts w:ascii="Times New Roman" w:hAnsi="Times New Roman" w:cs="Times New Roman"/>
          <w:sz w:val="20"/>
          <w:szCs w:val="20"/>
        </w:rPr>
        <w:t>В случае необходимости для получения разъяснений по вопросам, связанным с предметом  закупки, просим Вас направлять запрос в письменном виде на указанную ниже электронную почту.</w:t>
      </w:r>
    </w:p>
    <w:p w:rsidR="007D51FA" w:rsidRPr="00387815" w:rsidRDefault="007D51FA" w:rsidP="007D51FA">
      <w:pPr>
        <w:pStyle w:val="Style51"/>
        <w:widowControl/>
        <w:spacing w:line="216" w:lineRule="auto"/>
        <w:ind w:firstLine="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          Контактная информация: 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Машталлер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Алексей Викторович / 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Раб</w:t>
      </w:r>
      <w:proofErr w:type="gram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.т</w:t>
      </w:r>
      <w:proofErr w:type="gram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ел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 8-(391) 219-91-07/ </w:t>
      </w: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  <w:lang w:val="en-US"/>
        </w:rPr>
        <w:t>e</w:t>
      </w: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-</w:t>
      </w: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  <w:lang w:val="en-US"/>
        </w:rPr>
        <w:t>mail</w:t>
      </w: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 xml:space="preserve">: 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  <w:lang w:val="en-US"/>
        </w:rPr>
        <w:t>mashtallerav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@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  <w:lang w:val="en-US"/>
        </w:rPr>
        <w:t>goknok</w:t>
      </w:r>
      <w:proofErr w:type="spellEnd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.</w:t>
      </w:r>
      <w:proofErr w:type="spellStart"/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  <w:lang w:val="en-US"/>
        </w:rPr>
        <w:t>ru</w:t>
      </w:r>
      <w:proofErr w:type="spellEnd"/>
    </w:p>
    <w:p w:rsidR="007D51FA" w:rsidRDefault="007D51FA" w:rsidP="007D51FA">
      <w:pPr>
        <w:pStyle w:val="Style51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  <w:r w:rsidRPr="00387815"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  <w:t>Приложение: на 2 л. в 1 экз.</w:t>
      </w:r>
    </w:p>
    <w:p w:rsidR="00387815" w:rsidRPr="00387815" w:rsidRDefault="00387815" w:rsidP="007D51FA">
      <w:pPr>
        <w:pStyle w:val="Style51"/>
        <w:widowControl/>
        <w:spacing w:line="216" w:lineRule="auto"/>
        <w:ind w:firstLine="720"/>
        <w:rPr>
          <w:rStyle w:val="FontStyle79"/>
          <w:rFonts w:ascii="Times New Roman" w:hAnsi="Times New Roman" w:cs="Times New Roman"/>
          <w:i w:val="0"/>
          <w:iCs/>
          <w:sz w:val="20"/>
          <w:szCs w:val="20"/>
        </w:rPr>
      </w:pPr>
    </w:p>
    <w:p w:rsidR="00711E16" w:rsidRPr="00387815" w:rsidRDefault="00711E16" w:rsidP="00FA3340">
      <w:pPr>
        <w:pStyle w:val="Style51"/>
        <w:widowControl/>
        <w:spacing w:line="218" w:lineRule="auto"/>
        <w:ind w:firstLine="0"/>
        <w:rPr>
          <w:rStyle w:val="FontStyle109"/>
          <w:rFonts w:ascii="Times New Roman" w:hAnsi="Times New Roman" w:cs="Times New Roman"/>
          <w:bCs/>
          <w:sz w:val="24"/>
        </w:rPr>
      </w:pPr>
      <w:r w:rsidRPr="00387815">
        <w:rPr>
          <w:rStyle w:val="FontStyle109"/>
          <w:rFonts w:ascii="Times New Roman" w:hAnsi="Times New Roman" w:cs="Times New Roman"/>
          <w:bCs/>
          <w:sz w:val="24"/>
        </w:rPr>
        <w:t xml:space="preserve">  С уважением,</w:t>
      </w:r>
    </w:p>
    <w:p w:rsidR="002E5F8F" w:rsidRPr="000E2850" w:rsidRDefault="002E5F8F" w:rsidP="00FA3340">
      <w:pPr>
        <w:pStyle w:val="Style51"/>
        <w:widowControl/>
        <w:spacing w:line="218" w:lineRule="auto"/>
        <w:ind w:firstLine="0"/>
        <w:rPr>
          <w:rStyle w:val="FontStyle109"/>
          <w:rFonts w:ascii="Times New Roman" w:hAnsi="Times New Roman" w:cs="Times New Roman"/>
          <w:bCs/>
          <w:sz w:val="24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4343"/>
        <w:gridCol w:w="2320"/>
        <w:gridCol w:w="3827"/>
      </w:tblGrid>
      <w:tr w:rsidR="00711E16" w:rsidRPr="000E2850" w:rsidTr="002F2230">
        <w:tc>
          <w:tcPr>
            <w:tcW w:w="4343" w:type="dxa"/>
          </w:tcPr>
          <w:p w:rsidR="00F504DE" w:rsidRDefault="005F7B0A" w:rsidP="00F504DE">
            <w:pPr>
              <w:pStyle w:val="Style17"/>
              <w:widowControl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11E16" w:rsidRPr="000E2850" w:rsidRDefault="005F7B0A" w:rsidP="005F7B0A">
            <w:pPr>
              <w:pStyle w:val="Style17"/>
              <w:widowControl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11E16" w:rsidRPr="000E2850">
              <w:rPr>
                <w:rFonts w:ascii="Times New Roman" w:hAnsi="Times New Roman" w:cs="Times New Roman"/>
              </w:rPr>
              <w:t>уководител</w:t>
            </w:r>
            <w:r>
              <w:rPr>
                <w:rFonts w:ascii="Times New Roman" w:hAnsi="Times New Roman" w:cs="Times New Roman"/>
              </w:rPr>
              <w:t>я</w:t>
            </w:r>
            <w:r w:rsidR="00711E16" w:rsidRPr="000E2850">
              <w:rPr>
                <w:rFonts w:ascii="Times New Roman" w:hAnsi="Times New Roman" w:cs="Times New Roman"/>
              </w:rPr>
              <w:t xml:space="preserve"> ОМТС</w:t>
            </w:r>
            <w:r w:rsidR="000E2850" w:rsidRPr="000E2850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320" w:type="dxa"/>
          </w:tcPr>
          <w:p w:rsidR="00711E16" w:rsidRPr="000E2850" w:rsidRDefault="00711E16" w:rsidP="00FA3340">
            <w:pPr>
              <w:pStyle w:val="Style17"/>
              <w:widowControl/>
              <w:spacing w:line="218" w:lineRule="auto"/>
              <w:jc w:val="both"/>
              <w:rPr>
                <w:rFonts w:ascii="Times New Roman" w:hAnsi="Times New Roman" w:cs="Times New Roman"/>
              </w:rPr>
            </w:pPr>
            <w:r w:rsidRPr="000E28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11E16" w:rsidRDefault="000E2850" w:rsidP="00FA3340">
            <w:pPr>
              <w:spacing w:line="218" w:lineRule="auto"/>
              <w:ind w:right="32"/>
              <w:jc w:val="both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</w:t>
            </w:r>
          </w:p>
          <w:p w:rsidR="00CD26D2" w:rsidRPr="000E2850" w:rsidRDefault="00CD26D2" w:rsidP="005F7B0A">
            <w:pPr>
              <w:spacing w:line="218" w:lineRule="auto"/>
              <w:ind w:right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F504DE"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В.</w:t>
            </w:r>
            <w:r w:rsidR="005F7B0A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К</w:t>
            </w:r>
            <w:r w:rsidR="005F7B0A">
              <w:rPr>
                <w:sz w:val="24"/>
                <w:szCs w:val="24"/>
              </w:rPr>
              <w:t>ирьянен</w:t>
            </w:r>
            <w:proofErr w:type="spellEnd"/>
          </w:p>
        </w:tc>
      </w:tr>
      <w:tr w:rsidR="00711E16" w:rsidRPr="00711E16" w:rsidTr="002F2230">
        <w:tc>
          <w:tcPr>
            <w:tcW w:w="4343" w:type="dxa"/>
          </w:tcPr>
          <w:p w:rsidR="00711E16" w:rsidRPr="00711E16" w:rsidRDefault="00711E16" w:rsidP="00207BB5">
            <w:pPr>
              <w:pStyle w:val="Style17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711E16" w:rsidRPr="00711E16" w:rsidRDefault="00711E16" w:rsidP="00207BB5">
            <w:pPr>
              <w:pStyle w:val="Style17"/>
              <w:widowControl/>
              <w:spacing w:line="22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11E16" w:rsidRPr="00711E16" w:rsidRDefault="00711E16" w:rsidP="00207BB5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</w:tbl>
    <w:p w:rsidR="00711E16" w:rsidRPr="00162B57" w:rsidRDefault="00711E16" w:rsidP="00711E16">
      <w:pPr>
        <w:jc w:val="right"/>
        <w:rPr>
          <w:sz w:val="26"/>
          <w:szCs w:val="26"/>
        </w:rPr>
      </w:pPr>
      <w:r w:rsidRPr="00162B57">
        <w:rPr>
          <w:sz w:val="26"/>
          <w:szCs w:val="26"/>
        </w:rPr>
        <w:lastRenderedPageBreak/>
        <w:t>Приложение 1</w:t>
      </w:r>
    </w:p>
    <w:p w:rsidR="00711E16" w:rsidRDefault="00711E16" w:rsidP="00711E16">
      <w:pPr>
        <w:jc w:val="center"/>
        <w:rPr>
          <w:sz w:val="26"/>
          <w:szCs w:val="26"/>
        </w:rPr>
      </w:pPr>
      <w:r w:rsidRPr="007837E6">
        <w:rPr>
          <w:sz w:val="26"/>
          <w:szCs w:val="26"/>
        </w:rPr>
        <w:t>По</w:t>
      </w:r>
      <w:r>
        <w:rPr>
          <w:sz w:val="26"/>
          <w:szCs w:val="26"/>
        </w:rPr>
        <w:t>требность в поставке ТМЦ</w:t>
      </w:r>
    </w:p>
    <w:p w:rsidR="00F906AA" w:rsidRDefault="00D84B86" w:rsidP="00711E16">
      <w:pPr>
        <w:rPr>
          <w:b/>
          <w:sz w:val="26"/>
          <w:szCs w:val="26"/>
        </w:rPr>
      </w:pPr>
      <w:r>
        <w:rPr>
          <w:b/>
          <w:sz w:val="26"/>
          <w:szCs w:val="26"/>
        </w:rPr>
        <w:t>№ 681</w:t>
      </w:r>
    </w:p>
    <w:p w:rsidR="00F906AA" w:rsidRDefault="00777954" w:rsidP="00711E16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84950" cy="19653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8B3D64" w:rsidP="00711E16">
      <w:pPr>
        <w:rPr>
          <w:b/>
          <w:sz w:val="26"/>
          <w:szCs w:val="26"/>
        </w:rPr>
      </w:pPr>
      <w:r>
        <w:rPr>
          <w:b/>
          <w:sz w:val="26"/>
          <w:szCs w:val="26"/>
        </w:rPr>
        <w:t>№675</w:t>
      </w: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8B3D64" w:rsidP="00711E16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571615" cy="514540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514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F906AA" w:rsidP="00711E16">
      <w:pPr>
        <w:rPr>
          <w:b/>
          <w:sz w:val="26"/>
          <w:szCs w:val="26"/>
        </w:rPr>
      </w:pPr>
    </w:p>
    <w:p w:rsidR="00F906AA" w:rsidRDefault="00F906AA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</w:p>
    <w:p w:rsidR="00777954" w:rsidRDefault="00777954" w:rsidP="00711E16">
      <w:pPr>
        <w:rPr>
          <w:b/>
          <w:sz w:val="26"/>
          <w:szCs w:val="26"/>
        </w:rPr>
      </w:pPr>
      <w:bookmarkStart w:id="0" w:name="_GoBack"/>
      <w:bookmarkEnd w:id="0"/>
    </w:p>
    <w:p w:rsidR="00A91AEF" w:rsidRDefault="00B6003C" w:rsidP="00A91AEF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t>П</w:t>
      </w:r>
      <w:r w:rsidR="00A91AEF" w:rsidRPr="00162B57">
        <w:rPr>
          <w:noProof/>
          <w:sz w:val="26"/>
          <w:szCs w:val="26"/>
        </w:rPr>
        <w:t>риложение 2</w:t>
      </w:r>
    </w:p>
    <w:p w:rsidR="00A91AEF" w:rsidRDefault="00A91AEF" w:rsidP="00A91AEF">
      <w:pPr>
        <w:jc w:val="center"/>
        <w:rPr>
          <w:sz w:val="26"/>
          <w:szCs w:val="26"/>
        </w:rPr>
      </w:pPr>
    </w:p>
    <w:p w:rsidR="00A91AEF" w:rsidRDefault="00A91AEF" w:rsidP="00A91AEF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A91AEF" w:rsidRDefault="00A91AEF" w:rsidP="00A91AEF">
      <w:pPr>
        <w:rPr>
          <w:sz w:val="26"/>
          <w:szCs w:val="26"/>
        </w:rPr>
      </w:pPr>
    </w:p>
    <w:p w:rsidR="00A91AEF" w:rsidRDefault="00A91AEF" w:rsidP="00A91AE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A91AEF" w:rsidRPr="00A3059B" w:rsidRDefault="00A91AEF" w:rsidP="00A91AEF">
      <w:pPr>
        <w:jc w:val="right"/>
        <w:rPr>
          <w:sz w:val="28"/>
          <w:szCs w:val="28"/>
        </w:rPr>
      </w:pPr>
    </w:p>
    <w:p w:rsidR="00A91AEF" w:rsidRPr="00A3059B" w:rsidRDefault="00A91AEF" w:rsidP="00A91AEF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1B067E" w:rsidRDefault="00A91AEF" w:rsidP="00A91AEF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="001B067E">
        <w:rPr>
          <w:sz w:val="28"/>
          <w:szCs w:val="28"/>
        </w:rPr>
        <w:t>А</w:t>
      </w:r>
      <w:r w:rsidRPr="00A3059B">
        <w:rPr>
          <w:sz w:val="28"/>
          <w:szCs w:val="28"/>
        </w:rPr>
        <w:t>О «</w:t>
      </w:r>
      <w:proofErr w:type="spellStart"/>
      <w:r w:rsidR="001B067E">
        <w:rPr>
          <w:sz w:val="28"/>
          <w:szCs w:val="28"/>
        </w:rPr>
        <w:t>Горевский</w:t>
      </w:r>
      <w:proofErr w:type="spellEnd"/>
      <w:r w:rsidR="001B067E">
        <w:rPr>
          <w:sz w:val="28"/>
          <w:szCs w:val="28"/>
        </w:rPr>
        <w:t xml:space="preserve"> ГОК</w:t>
      </w:r>
      <w:r w:rsidRPr="00A3059B">
        <w:rPr>
          <w:sz w:val="28"/>
          <w:szCs w:val="28"/>
        </w:rPr>
        <w:t>»</w:t>
      </w:r>
    </w:p>
    <w:p w:rsidR="00A91AEF" w:rsidRDefault="00A91AEF" w:rsidP="00A91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A91AEF" w:rsidRPr="00A3059B" w:rsidRDefault="00A91AEF" w:rsidP="00A91AEF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от </w:t>
      </w:r>
      <w:r w:rsidR="00777954">
        <w:rPr>
          <w:sz w:val="28"/>
          <w:szCs w:val="28"/>
        </w:rPr>
        <w:t>26</w:t>
      </w:r>
      <w:r w:rsidRPr="00A3059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A7BDF">
        <w:rPr>
          <w:sz w:val="28"/>
          <w:szCs w:val="28"/>
        </w:rPr>
        <w:t>2</w:t>
      </w:r>
      <w:r w:rsidRPr="00A3059B">
        <w:rPr>
          <w:sz w:val="28"/>
          <w:szCs w:val="28"/>
        </w:rPr>
        <w:t>.2019 №</w:t>
      </w:r>
      <w:r w:rsidR="00251E81">
        <w:rPr>
          <w:sz w:val="28"/>
          <w:szCs w:val="28"/>
        </w:rPr>
        <w:t>6</w:t>
      </w:r>
      <w:r w:rsidR="00FC4B6B">
        <w:rPr>
          <w:sz w:val="28"/>
          <w:szCs w:val="28"/>
        </w:rPr>
        <w:t>8</w:t>
      </w:r>
      <w:r w:rsidR="009A7BDF">
        <w:rPr>
          <w:sz w:val="28"/>
          <w:szCs w:val="28"/>
        </w:rPr>
        <w:t>1</w:t>
      </w:r>
      <w:r w:rsidR="008B3D64">
        <w:rPr>
          <w:sz w:val="28"/>
          <w:szCs w:val="28"/>
        </w:rPr>
        <w:t xml:space="preserve"> (№675)</w:t>
      </w:r>
    </w:p>
    <w:p w:rsidR="00A91AEF" w:rsidRPr="00CE24C7" w:rsidRDefault="00A91AEF" w:rsidP="00A91AEF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A91AEF" w:rsidTr="001E3693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ind w:right="-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ind w:right="59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ind w:right="135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AEF" w:rsidRPr="00A3059B" w:rsidRDefault="00A91AEF" w:rsidP="001E3693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AEF" w:rsidRPr="00A3059B" w:rsidRDefault="00A91AEF" w:rsidP="001E3693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A91AEF" w:rsidTr="001E36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AEF" w:rsidRPr="00A3059B" w:rsidRDefault="00A91AEF" w:rsidP="001E3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AEF" w:rsidRPr="00A3059B" w:rsidRDefault="00A91AEF" w:rsidP="001E3693">
            <w:pPr>
              <w:jc w:val="center"/>
              <w:rPr>
                <w:sz w:val="28"/>
                <w:szCs w:val="28"/>
              </w:rPr>
            </w:pPr>
          </w:p>
        </w:tc>
      </w:tr>
      <w:tr w:rsidR="00310E7C" w:rsidTr="001E36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C" w:rsidRPr="00A3059B" w:rsidRDefault="00310E7C" w:rsidP="001E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C" w:rsidRPr="00A3059B" w:rsidRDefault="00310E7C" w:rsidP="001E369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C" w:rsidRPr="00A3059B" w:rsidRDefault="00310E7C" w:rsidP="001E36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C" w:rsidRPr="00A3059B" w:rsidRDefault="00310E7C" w:rsidP="001E369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7C" w:rsidRPr="00A3059B" w:rsidRDefault="00310E7C" w:rsidP="001E369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7C" w:rsidRPr="00A3059B" w:rsidRDefault="00310E7C" w:rsidP="001E3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E7C" w:rsidRPr="00A3059B" w:rsidRDefault="00310E7C" w:rsidP="001E3693">
            <w:pPr>
              <w:jc w:val="center"/>
              <w:rPr>
                <w:sz w:val="28"/>
                <w:szCs w:val="28"/>
              </w:rPr>
            </w:pPr>
          </w:p>
        </w:tc>
      </w:tr>
      <w:tr w:rsidR="00A91AEF" w:rsidTr="001E369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F" w:rsidRPr="00A3059B" w:rsidRDefault="00A91AEF" w:rsidP="001E3693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A91AEF" w:rsidRPr="00A3059B" w:rsidRDefault="00A91AEF" w:rsidP="001E3693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AEF" w:rsidRPr="00A3059B" w:rsidRDefault="00A91AEF" w:rsidP="001E36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1AEF" w:rsidRDefault="00A91AEF" w:rsidP="00A91AEF">
      <w:pPr>
        <w:ind w:right="-1"/>
        <w:rPr>
          <w:sz w:val="26"/>
          <w:szCs w:val="26"/>
        </w:rPr>
      </w:pPr>
    </w:p>
    <w:p w:rsidR="00A91AEF" w:rsidRDefault="00A91AEF" w:rsidP="00A91AEF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A91AEF" w:rsidRPr="00CE24C7" w:rsidRDefault="00A91AEF" w:rsidP="00A91AEF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A91AEF" w:rsidTr="001E3693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Pr="00585D89" w:rsidRDefault="00A91AEF" w:rsidP="001E3693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AEF" w:rsidRDefault="00A91AEF" w:rsidP="001E3693">
            <w:pPr>
              <w:jc w:val="center"/>
            </w:pPr>
          </w:p>
        </w:tc>
      </w:tr>
      <w:tr w:rsidR="00CD4178" w:rsidTr="001E3693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78" w:rsidRDefault="00CD4178" w:rsidP="001E3693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78" w:rsidRPr="00585D89" w:rsidRDefault="00CD4178" w:rsidP="001E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78" w:rsidRDefault="00CD4178" w:rsidP="001E3693">
            <w:pPr>
              <w:jc w:val="center"/>
            </w:pPr>
          </w:p>
        </w:tc>
      </w:tr>
    </w:tbl>
    <w:p w:rsidR="00A91AEF" w:rsidRDefault="00A91AEF" w:rsidP="00A91AEF">
      <w:pPr>
        <w:rPr>
          <w:sz w:val="26"/>
          <w:szCs w:val="26"/>
        </w:rPr>
      </w:pPr>
    </w:p>
    <w:p w:rsidR="00A91AEF" w:rsidRDefault="00A91AEF" w:rsidP="00A91AEF">
      <w:pPr>
        <w:rPr>
          <w:sz w:val="26"/>
          <w:szCs w:val="26"/>
        </w:rPr>
      </w:pPr>
    </w:p>
    <w:p w:rsidR="00A91AEF" w:rsidRDefault="00A91AEF" w:rsidP="00A91AEF">
      <w:pPr>
        <w:rPr>
          <w:sz w:val="26"/>
          <w:szCs w:val="26"/>
        </w:rPr>
      </w:pPr>
    </w:p>
    <w:p w:rsidR="00A91AEF" w:rsidRDefault="00A91AEF" w:rsidP="00A91AEF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A91AEF" w:rsidRDefault="00A91AEF" w:rsidP="00A91AEF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A91AEF" w:rsidRPr="00CE24C7" w:rsidRDefault="00A91AEF" w:rsidP="00A91AEF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A91AEF" w:rsidRDefault="00A91AEF" w:rsidP="00A91AEF">
      <w:pPr>
        <w:rPr>
          <w:noProof/>
          <w:sz w:val="26"/>
          <w:szCs w:val="26"/>
        </w:rPr>
      </w:pPr>
    </w:p>
    <w:p w:rsidR="00A91AEF" w:rsidRDefault="00A91AEF" w:rsidP="00A91AEF">
      <w:pPr>
        <w:rPr>
          <w:noProof/>
          <w:sz w:val="26"/>
          <w:szCs w:val="26"/>
        </w:rPr>
      </w:pPr>
    </w:p>
    <w:p w:rsidR="00A91AEF" w:rsidRDefault="00A91AEF" w:rsidP="00A91AEF">
      <w:pPr>
        <w:rPr>
          <w:noProof/>
          <w:sz w:val="26"/>
          <w:szCs w:val="26"/>
        </w:rPr>
      </w:pPr>
    </w:p>
    <w:p w:rsidR="00A91AEF" w:rsidRDefault="00A91AEF" w:rsidP="00A91AEF">
      <w:pPr>
        <w:rPr>
          <w:noProof/>
          <w:sz w:val="26"/>
          <w:szCs w:val="26"/>
        </w:rPr>
      </w:pPr>
    </w:p>
    <w:p w:rsidR="00A91AEF" w:rsidRDefault="00A91AEF" w:rsidP="00711E16">
      <w:pPr>
        <w:rPr>
          <w:b/>
          <w:sz w:val="26"/>
          <w:szCs w:val="26"/>
        </w:rPr>
      </w:pPr>
    </w:p>
    <w:p w:rsidR="00DA640D" w:rsidRDefault="00DA640D" w:rsidP="00711E16">
      <w:pPr>
        <w:rPr>
          <w:b/>
          <w:sz w:val="26"/>
          <w:szCs w:val="26"/>
        </w:rPr>
      </w:pPr>
    </w:p>
    <w:p w:rsidR="00DA640D" w:rsidRDefault="00DA640D" w:rsidP="00711E16">
      <w:pPr>
        <w:rPr>
          <w:b/>
          <w:sz w:val="26"/>
          <w:szCs w:val="26"/>
        </w:rPr>
      </w:pPr>
    </w:p>
    <w:sectPr w:rsidR="00DA640D" w:rsidSect="00FA3340">
      <w:type w:val="continuous"/>
      <w:pgSz w:w="11907" w:h="16840" w:code="9"/>
      <w:pgMar w:top="397" w:right="567" w:bottom="142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6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BF5BCD"/>
    <w:multiLevelType w:val="hybridMultilevel"/>
    <w:tmpl w:val="DE1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F2178"/>
    <w:multiLevelType w:val="hybridMultilevel"/>
    <w:tmpl w:val="6D92D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F45E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C5"/>
    <w:rsid w:val="00004B35"/>
    <w:rsid w:val="000709BC"/>
    <w:rsid w:val="00077337"/>
    <w:rsid w:val="000A0B07"/>
    <w:rsid w:val="000B7380"/>
    <w:rsid w:val="000C0479"/>
    <w:rsid w:val="000D7637"/>
    <w:rsid w:val="000E2850"/>
    <w:rsid w:val="00166282"/>
    <w:rsid w:val="0017615A"/>
    <w:rsid w:val="00176727"/>
    <w:rsid w:val="00187970"/>
    <w:rsid w:val="001B0014"/>
    <w:rsid w:val="001B067E"/>
    <w:rsid w:val="001B4CC2"/>
    <w:rsid w:val="00201953"/>
    <w:rsid w:val="00207BB5"/>
    <w:rsid w:val="00227975"/>
    <w:rsid w:val="00227D56"/>
    <w:rsid w:val="00251E81"/>
    <w:rsid w:val="00284BED"/>
    <w:rsid w:val="002B0C81"/>
    <w:rsid w:val="002B3F0B"/>
    <w:rsid w:val="002E5F8F"/>
    <w:rsid w:val="00310E7C"/>
    <w:rsid w:val="00387815"/>
    <w:rsid w:val="00394B36"/>
    <w:rsid w:val="003A625E"/>
    <w:rsid w:val="003E5654"/>
    <w:rsid w:val="003E783D"/>
    <w:rsid w:val="003F3C84"/>
    <w:rsid w:val="004015E1"/>
    <w:rsid w:val="0042736A"/>
    <w:rsid w:val="004602BF"/>
    <w:rsid w:val="0047503D"/>
    <w:rsid w:val="004A4FAE"/>
    <w:rsid w:val="004C1011"/>
    <w:rsid w:val="004C6F45"/>
    <w:rsid w:val="004D5B62"/>
    <w:rsid w:val="00546F39"/>
    <w:rsid w:val="00550B19"/>
    <w:rsid w:val="00563039"/>
    <w:rsid w:val="005948BE"/>
    <w:rsid w:val="005A6817"/>
    <w:rsid w:val="005B6DB1"/>
    <w:rsid w:val="005C5F21"/>
    <w:rsid w:val="005F4F9D"/>
    <w:rsid w:val="005F7B0A"/>
    <w:rsid w:val="00606C13"/>
    <w:rsid w:val="00632B3E"/>
    <w:rsid w:val="006607B0"/>
    <w:rsid w:val="006643C7"/>
    <w:rsid w:val="00683EDE"/>
    <w:rsid w:val="006B13D2"/>
    <w:rsid w:val="006B484D"/>
    <w:rsid w:val="006C7D43"/>
    <w:rsid w:val="006E4089"/>
    <w:rsid w:val="00711C9B"/>
    <w:rsid w:val="00711E16"/>
    <w:rsid w:val="00755441"/>
    <w:rsid w:val="00755F3A"/>
    <w:rsid w:val="00777954"/>
    <w:rsid w:val="007D51FA"/>
    <w:rsid w:val="007E7F27"/>
    <w:rsid w:val="007F0DA8"/>
    <w:rsid w:val="00874FDB"/>
    <w:rsid w:val="008903DE"/>
    <w:rsid w:val="00896B31"/>
    <w:rsid w:val="008A5198"/>
    <w:rsid w:val="008B3D64"/>
    <w:rsid w:val="008C399E"/>
    <w:rsid w:val="008E3B19"/>
    <w:rsid w:val="008E5094"/>
    <w:rsid w:val="00904089"/>
    <w:rsid w:val="009236FE"/>
    <w:rsid w:val="00943BFE"/>
    <w:rsid w:val="0095153D"/>
    <w:rsid w:val="009932F0"/>
    <w:rsid w:val="009A6E97"/>
    <w:rsid w:val="009A7BDF"/>
    <w:rsid w:val="009B1E09"/>
    <w:rsid w:val="009C3AF2"/>
    <w:rsid w:val="00A01E8B"/>
    <w:rsid w:val="00A17A30"/>
    <w:rsid w:val="00A17D02"/>
    <w:rsid w:val="00A3059B"/>
    <w:rsid w:val="00A46F97"/>
    <w:rsid w:val="00A5390C"/>
    <w:rsid w:val="00A91AEF"/>
    <w:rsid w:val="00A9501C"/>
    <w:rsid w:val="00AB5647"/>
    <w:rsid w:val="00AD03A4"/>
    <w:rsid w:val="00AD619D"/>
    <w:rsid w:val="00AF6AE3"/>
    <w:rsid w:val="00B469EF"/>
    <w:rsid w:val="00B53E68"/>
    <w:rsid w:val="00B54D72"/>
    <w:rsid w:val="00B6003C"/>
    <w:rsid w:val="00B7358F"/>
    <w:rsid w:val="00BB62C5"/>
    <w:rsid w:val="00BB728A"/>
    <w:rsid w:val="00BC58C4"/>
    <w:rsid w:val="00BE2EE9"/>
    <w:rsid w:val="00BF7FED"/>
    <w:rsid w:val="00C02DA6"/>
    <w:rsid w:val="00C05E30"/>
    <w:rsid w:val="00C14890"/>
    <w:rsid w:val="00C2348B"/>
    <w:rsid w:val="00C5748E"/>
    <w:rsid w:val="00C90EB0"/>
    <w:rsid w:val="00CD26D2"/>
    <w:rsid w:val="00CD4178"/>
    <w:rsid w:val="00CD7D35"/>
    <w:rsid w:val="00CF23E2"/>
    <w:rsid w:val="00D13A9C"/>
    <w:rsid w:val="00D459BF"/>
    <w:rsid w:val="00D84B86"/>
    <w:rsid w:val="00DA640D"/>
    <w:rsid w:val="00E1372C"/>
    <w:rsid w:val="00E175F9"/>
    <w:rsid w:val="00E62675"/>
    <w:rsid w:val="00E7509A"/>
    <w:rsid w:val="00EA54C3"/>
    <w:rsid w:val="00EB15A0"/>
    <w:rsid w:val="00EB50A1"/>
    <w:rsid w:val="00EB70C9"/>
    <w:rsid w:val="00EC2361"/>
    <w:rsid w:val="00EC66DC"/>
    <w:rsid w:val="00ED50FE"/>
    <w:rsid w:val="00EE3520"/>
    <w:rsid w:val="00EF20B3"/>
    <w:rsid w:val="00F13068"/>
    <w:rsid w:val="00F504DE"/>
    <w:rsid w:val="00F55ABF"/>
    <w:rsid w:val="00F611E6"/>
    <w:rsid w:val="00F719AA"/>
    <w:rsid w:val="00F906AA"/>
    <w:rsid w:val="00FA3340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AA"/>
  </w:style>
  <w:style w:type="paragraph" w:styleId="1">
    <w:name w:val="heading 1"/>
    <w:basedOn w:val="a"/>
    <w:next w:val="a"/>
    <w:qFormat/>
    <w:rsid w:val="00F719A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719AA"/>
    <w:pPr>
      <w:keepNext/>
      <w:tabs>
        <w:tab w:val="left" w:pos="42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19AA"/>
    <w:pPr>
      <w:jc w:val="center"/>
    </w:pPr>
    <w:rPr>
      <w:rFonts w:ascii="CG Times" w:hAnsi="CG Times"/>
      <w:sz w:val="24"/>
    </w:rPr>
  </w:style>
  <w:style w:type="paragraph" w:styleId="a4">
    <w:name w:val="Body Text Indent"/>
    <w:basedOn w:val="a"/>
    <w:rsid w:val="00F719AA"/>
    <w:pPr>
      <w:ind w:firstLine="567"/>
    </w:pPr>
    <w:rPr>
      <w:rFonts w:ascii="CG Times" w:hAnsi="CG Times"/>
      <w:sz w:val="26"/>
    </w:rPr>
  </w:style>
  <w:style w:type="paragraph" w:styleId="a5">
    <w:name w:val="Body Text"/>
    <w:basedOn w:val="a"/>
    <w:rsid w:val="00F719AA"/>
    <w:pPr>
      <w:tabs>
        <w:tab w:val="left" w:pos="1134"/>
        <w:tab w:val="left" w:pos="1560"/>
      </w:tabs>
    </w:pPr>
    <w:rPr>
      <w:sz w:val="26"/>
    </w:rPr>
  </w:style>
  <w:style w:type="paragraph" w:styleId="20">
    <w:name w:val="Body Text Indent 2"/>
    <w:basedOn w:val="a"/>
    <w:rsid w:val="00F719AA"/>
    <w:pPr>
      <w:ind w:firstLine="1134"/>
      <w:jc w:val="both"/>
    </w:pPr>
    <w:rPr>
      <w:sz w:val="26"/>
    </w:rPr>
  </w:style>
  <w:style w:type="paragraph" w:styleId="21">
    <w:name w:val="Body Text 2"/>
    <w:basedOn w:val="a"/>
    <w:rsid w:val="00F719AA"/>
    <w:rPr>
      <w:sz w:val="28"/>
    </w:rPr>
  </w:style>
  <w:style w:type="paragraph" w:styleId="a6">
    <w:name w:val="Balloon Text"/>
    <w:basedOn w:val="a"/>
    <w:semiHidden/>
    <w:rsid w:val="00F719A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719AA"/>
    <w:rPr>
      <w:color w:val="0000FF"/>
      <w:u w:val="single"/>
    </w:rPr>
  </w:style>
  <w:style w:type="table" w:styleId="a8">
    <w:name w:val="Table Grid"/>
    <w:basedOn w:val="a1"/>
    <w:rsid w:val="00A1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84BED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284BE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17">
    <w:name w:val="Style17"/>
    <w:basedOn w:val="a"/>
    <w:uiPriority w:val="99"/>
    <w:rsid w:val="00284BE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22">
    <w:name w:val="Style22"/>
    <w:basedOn w:val="a"/>
    <w:uiPriority w:val="99"/>
    <w:rsid w:val="00284BED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51">
    <w:name w:val="Style51"/>
    <w:basedOn w:val="a"/>
    <w:uiPriority w:val="99"/>
    <w:rsid w:val="00284BED"/>
    <w:pPr>
      <w:widowControl w:val="0"/>
      <w:autoSpaceDE w:val="0"/>
      <w:autoSpaceDN w:val="0"/>
      <w:adjustRightInd w:val="0"/>
      <w:spacing w:line="265" w:lineRule="exact"/>
      <w:ind w:firstLine="533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0">
    <w:name w:val="Style60"/>
    <w:basedOn w:val="a"/>
    <w:uiPriority w:val="99"/>
    <w:rsid w:val="00284BED"/>
    <w:pPr>
      <w:widowControl w:val="0"/>
      <w:autoSpaceDE w:val="0"/>
      <w:autoSpaceDN w:val="0"/>
      <w:adjustRightInd w:val="0"/>
      <w:spacing w:line="264" w:lineRule="exact"/>
      <w:ind w:firstLine="667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uiPriority w:val="99"/>
    <w:rsid w:val="00284BED"/>
    <w:pPr>
      <w:widowControl w:val="0"/>
      <w:autoSpaceDE w:val="0"/>
      <w:autoSpaceDN w:val="0"/>
      <w:adjustRightInd w:val="0"/>
      <w:spacing w:line="259" w:lineRule="exact"/>
      <w:ind w:firstLine="677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77">
    <w:name w:val="Font Style77"/>
    <w:uiPriority w:val="99"/>
    <w:rsid w:val="00284BED"/>
    <w:rPr>
      <w:rFonts w:ascii="Arial Narrow" w:hAnsi="Arial Narrow"/>
      <w:sz w:val="26"/>
    </w:rPr>
  </w:style>
  <w:style w:type="character" w:customStyle="1" w:styleId="FontStyle79">
    <w:name w:val="Font Style79"/>
    <w:uiPriority w:val="99"/>
    <w:rsid w:val="00284BED"/>
    <w:rPr>
      <w:rFonts w:ascii="Arial Narrow" w:hAnsi="Arial Narrow"/>
      <w:i/>
      <w:sz w:val="26"/>
    </w:rPr>
  </w:style>
  <w:style w:type="character" w:customStyle="1" w:styleId="FontStyle109">
    <w:name w:val="Font Style109"/>
    <w:uiPriority w:val="99"/>
    <w:rsid w:val="00284BED"/>
    <w:rPr>
      <w:rFonts w:ascii="Arial Narrow" w:hAnsi="Arial Narrow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nok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ngarsk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%20&#1088;&#1077;&#1082;&#1074;&#1080;&#1079;&#1080;&#1090;&#1072;&#1084;&#1080;%20&#1043;&#1054;&#1050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 реквизитами ГОКа (новый)</Template>
  <TotalTime>11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Машталлер Алексей Викторович</cp:lastModifiedBy>
  <cp:revision>11</cp:revision>
  <cp:lastPrinted>2019-12-02T08:21:00Z</cp:lastPrinted>
  <dcterms:created xsi:type="dcterms:W3CDTF">2019-12-03T01:19:00Z</dcterms:created>
  <dcterms:modified xsi:type="dcterms:W3CDTF">2019-12-26T03:27:00Z</dcterms:modified>
</cp:coreProperties>
</file>