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418" w:hanging="0"/>
        <w:jc w:val="center"/>
        <w:rPr/>
      </w:pPr>
      <w:r>
        <w:rPr>
          <w:rFonts w:cs="Times New Roman"/>
          <w:b/>
          <w:sz w:val="28"/>
          <w:szCs w:val="32"/>
        </w:rPr>
        <w:t>Требуется о</w:t>
      </w:r>
      <w:r>
        <w:rPr>
          <w:rFonts w:cs="Times New Roman"/>
          <w:b/>
          <w:sz w:val="28"/>
          <w:szCs w:val="32"/>
        </w:rPr>
        <w:t>борудования для стоек регистрации SITA CUTE,</w:t>
      </w:r>
      <w:r>
        <w:rPr>
          <w:b/>
          <w:sz w:val="40"/>
          <w:szCs w:val="32"/>
        </w:rPr>
        <w:t xml:space="preserve"> </w:t>
      </w:r>
      <w:r>
        <w:rPr>
          <w:b/>
          <w:sz w:val="28"/>
          <w:szCs w:val="32"/>
        </w:rPr>
        <w:t>а именно:</w:t>
      </w:r>
    </w:p>
    <w:tbl>
      <w:tblPr>
        <w:tblW w:w="1570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51"/>
        <w:gridCol w:w="12899"/>
        <w:gridCol w:w="851"/>
      </w:tblGrid>
      <w:tr>
        <w:trPr>
          <w:trHeight w:val="523" w:hRule="atLeast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Технические</w:t>
            </w:r>
            <w:r>
              <w:rPr>
                <w:b/>
                <w:sz w:val="20"/>
                <w:szCs w:val="20"/>
              </w:rPr>
              <w:t xml:space="preserve"> характеристики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шт</w:t>
            </w:r>
          </w:p>
        </w:tc>
      </w:tr>
      <w:tr>
        <w:trPr>
          <w:trHeight w:val="524" w:hRule="atLeast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  <w:lang w:val="en-US"/>
              </w:rPr>
              <w:t>Рабочая станция</w:t>
            </w:r>
            <w:r>
              <w:rPr>
                <w:b/>
              </w:rPr>
              <w:t xml:space="preserve"> (ПК)</w:t>
            </w:r>
          </w:p>
        </w:tc>
        <w:tc>
          <w:tcPr>
            <w:tcW w:w="1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Модель: HP EliteDesk 800 G2 SFF или аналог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 корпуса: Micro-Tower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цвет: чёрный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Операционная система: FreeDOS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процессора: Intel Core i5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ядер процессора: не менее 4 шт.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процессора: не менее 3200 МГц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кэша L2: не менее 1 МБ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кэша L3: не менее 6 МБ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видеокарты: встроенная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 видеочипа: Intel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интегрированной видеокарты: Intel UHD Graphics 630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видеопамяти: SMA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видеопамяти: выделяется из оперативной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оперативной памяти: DDR4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оперативной памяти: 4 ГБ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Суммарный объем жестких дисков (HDD): 500 ГБ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интерфейсы: VGA (D-Sub), DisplayPort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Интерфейсы периферии: jack 3.5 mm х2, USB 3.0 x6, RJ-45 x1, COM x2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доступа в Интернет: Ethernet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сетевого адаптера: не менее 1000 Мбит/с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Оптический привод DVD-RW: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 комплекте: клавиатура и мышь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Длина: не более 379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Ширина: не более 100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Высота: не более 339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/>
            </w:pPr>
            <w:r>
              <w:rPr/>
              <w:t>5</w:t>
            </w:r>
          </w:p>
        </w:tc>
      </w:tr>
      <w:tr>
        <w:trPr>
          <w:trHeight w:val="524" w:hRule="atLeast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Монитор</w:t>
            </w:r>
          </w:p>
        </w:tc>
        <w:tc>
          <w:tcPr>
            <w:tcW w:w="1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Модель: HP 19" LA1905wg или аналог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Диагональ экрана: не менее 19"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разрешение: не менее 1440x900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изготовления матрицы: TN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ЖК-матрицы (подробно): TN+film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Яркость: не менее 250 кд/м2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Контрастность: не менее 1000:1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Динамическая контрастность: не менее 3000:1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отклика пикселя, мс: не более 5 мс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обзора по вертикали: не менее 160°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обзора по горизонтали: не менее 160°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пикселя: не более 283 мкм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Видеоразъемы: VGA (D-Sub), DisplayPort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USB-концентратор: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Регулировка по высоте: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 на 90° (портретный режим):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блока питания: встроенный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без подставки: не более 445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без подставки: не более 371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без подставки: не более 244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без подставки: не более 6.2 кг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/>
            </w:pPr>
            <w:r>
              <w:rPr/>
              <w:t>5</w:t>
            </w:r>
          </w:p>
        </w:tc>
      </w:tr>
      <w:tr>
        <w:trPr>
          <w:trHeight w:val="524" w:hRule="atLeast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Клавиатура с оптическим и магнитным считывателями паспортов</w:t>
            </w:r>
          </w:p>
        </w:tc>
        <w:tc>
          <w:tcPr>
            <w:tcW w:w="1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Модель: Access ATB423MDO или аналог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цвет: темно-серый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клавиатуры: механическая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Бренд переключателей: Cherry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клавиш: не менее: 104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Цифровой блок: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Конструктивные особенности: полноразмерная, островная, классическая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подключения: проводная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подключения: USB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кабеля: не менее 2.5 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питания: по шине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Вспомогательный интерфейс порта RS-232: двунаправленный RS-232 9-канальный D-тип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для подключения считывателя штрих-кода: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Считыватель OCR: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Стандартные шрифты OCR: OCR-B, E13B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Машиносчитываемые паспорта (ППМ) OCR: 2 строки по 44 символа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Машиносчитываемые визы (MRV) OCR: 2 строки по 44 символа, 2 строки по 36 символов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Проездные документы OCR: 2 строки по 36 символов, 3 строки по 30 символов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Совместимость OCR: в соответствии с IATA 1720a, включая ATB-1 тип 407-E, 1403M, OCRB, OCRA и IATA 2 из 5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Считыватель MSR: есть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документов MSR: АТБ билеты 8" и 7 3/8", кошелек ATB и посадочный талон ATB2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 время и обработки MSR: ручная прокрутка, чтение не более 1 секунды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 головки MSR: не менее 250000 считываний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Совместимость MSR: IATA ATB2 722C формат T1,T2,T3 &amp; T4. AEA2002/PECTAB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Комплектация: документация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Особенности, дополнительно: регулировка высоты клавиатуры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не более: 439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не более: 20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Глубина, не более: 138 мм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Вес, не более: 1.75 кг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/>
            </w:pPr>
            <w:r>
              <w:rPr/>
              <w:t>5</w:t>
            </w:r>
          </w:p>
        </w:tc>
      </w:tr>
      <w:tr>
        <w:trPr>
          <w:trHeight w:val="524" w:hRule="atLeast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Принтер посадочных билетов</w:t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Модель: CUSTOM TK302 (911BB010600713) или аналог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Принтер для печати посадочных билетов (ATB)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печати: Термодатчик с фиксированной головкой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точек: не менее 8 точ/мм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Разрешение: не менее 200 dpi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печати (мм/сек):не менее 200мм/сек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Автоотрезчик (ресурс не менее): 2 млн. отрезов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Наборы символов: Латиница, кириллица, китайский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бумаги: От 20мм до 82.5мм (шаг 2мм)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 бумаги: от 80 до 255 г/м²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в качестве ATB и BTP в тяжелых условиях эксплуатации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Эмуляция: AEA 2009 ATB / BTP, драйвер принтера </w:t>
            </w:r>
          </w:p>
          <w:p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Интерфейсы</w:t>
            </w:r>
            <w:r>
              <w:rPr>
                <w:sz w:val="20"/>
                <w:szCs w:val="20"/>
                <w:lang w:val="en-US"/>
              </w:rPr>
              <w:t>: RS232 / USB / Ethernet/ SD Card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Буфер данных: не менее 64 KB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Флэш-память:не менее 16 MB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Драйвер: Win XP, Vista, 7, Linux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 220 В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Cредняя поглощения: 3.5A (50% горящих точек)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службы печатающей головки: не менее 100км/100M импульсов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Габариты (не более)252,1 (L) x 192,6 (H) x 216 (W) мм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(не более)4 кг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Версии ATB и BTP AEA CUTE и CUPPS для более простой интеграции в любую архитектуру ПО аэропортов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Сертифицирован для работы с  SITA CUTE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Высококачественная головка для четкой и точной печати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Встроенный дисплей 2 строки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запаса ATB: Автоматическое обнаружение ATB 8" и 7 3/8"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запаса BTP: Резолюция IATA 740. Автоматическое определение длины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Печать штрих-кодов 1D и 2D IATA: UPC-A, UPC-E, EAN13, EAN8, CODE39, ITF, CODABAR, CODE93, CODE128, CODE32, PDF417, DATAMATRIX, QRCODE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Датчики: полностью регулируемые нижние оптические датчики для любой ширины билета и для опознавания пятна приводки/полупрозрачного пробела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Самоустанавливаемый драйвер для WinXP/Vista/7 и Driver Linux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/>
            </w:pPr>
            <w:r>
              <w:rPr/>
              <w:t>5</w:t>
            </w:r>
          </w:p>
        </w:tc>
      </w:tr>
      <w:tr>
        <w:trPr>
          <w:trHeight w:val="524" w:hRule="atLeast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 xml:space="preserve">Принтер багажных бирок с модулем </w:t>
            </w:r>
            <w:r>
              <w:rPr>
                <w:b/>
                <w:lang w:val="en-US"/>
              </w:rPr>
              <w:t>RFID</w:t>
            </w:r>
            <w:r>
              <w:rPr>
                <w:b/>
              </w:rPr>
              <w:t xml:space="preserve"> и держателем рулона для бумаги</w:t>
            </w:r>
          </w:p>
        </w:tc>
        <w:tc>
          <w:tcPr>
            <w:tcW w:w="1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Модель: CUSTOM TK202 (911BD030100313) или аналог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Принтер для билетов багажных бирок (BTP)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печати: Термодатчик с фиксированной головкой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точек:8 точ/мм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Разрешение: не менее 200 dpi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печати (мм/сек): не менее 200мм/сек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Наборы символов: Латиница, кириллица, китайский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бумаги: От 20мм до 82.5мм (шаг 2мм) Плотность бумаги: от 80 до 255 г/м²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Держатель рулона: CUSTOM (974BA010000312) или аналог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Размеры рулона: макс 300мм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качестве ATB и BTP в тяжелых условиях эксплуатации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Эмуляция: AEA2012 ATB / BTP, драйвер принтера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Интерфейсы: RS232 / USB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Буфер данных: не менее 64 KB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Флэш-память:не менее 16 MB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Драйвер: Win XP, Vista, 7, Linux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220 В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Cредняя поглощения: 3.5A (50% горящих точек)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службы печатающей головки: не менее 100км/100M импульсов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Габариты (не более) 252,1 (L) x 192,6 (H) x 216 (W) мм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(не более)4 кг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Версии ATB и BTP AEA CUTE и CUPPS для более простой интеграции в любую архитектуру ПО аэропортов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Сертифицирован для работы с SITA CUTE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Высококачественная головка для четкой и точной печати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Встроенный дисплей 2 строки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запаса ATB: Автоматическое обнаружение ATB 8" и 7 3/8"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запаса BTP: Резолюция IATA 740. Автоматическое определение длины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Печать штрих-кодов 1D и 2D IATA: UPC-A, UPC-E, EAN13, EAN8, CODE39, ITF, CODABAR, CODE93, CODE128, CODE32, PDF417, DATAMATRIX, QRCODE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Датчики: полностью регулируемые нижние оптические датчики для любой ширины билета и для опознавания пятна приводки/полупрозрачного пробела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Функция отрыва идеальна для снижения затрат, отсутствует износ резака при использовании на этикетках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Самоустанавливаемый драйвер для Win XP/Vista/7 и Driver Linux</w:t>
            </w:r>
          </w:p>
          <w:p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Модуль UHF RFID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Spacing"/>
              <w:rPr/>
            </w:pPr>
            <w:r>
              <w:rPr/>
              <w:t>5</w:t>
            </w:r>
          </w:p>
        </w:tc>
      </w:tr>
    </w:tbl>
    <w:p>
      <w:pPr>
        <w:pStyle w:val="NoSpacing"/>
        <w:numPr>
          <w:ilvl w:val="0"/>
          <w:numId w:val="1"/>
        </w:numPr>
        <w:rPr>
          <w:b/>
          <w:b/>
          <w:bCs/>
        </w:rPr>
      </w:pPr>
      <w:r>
        <w:rPr/>
        <w:t>Товар должен полностью соответствовать техническому заданию;</w:t>
      </w:r>
    </w:p>
    <w:p>
      <w:pPr>
        <w:pStyle w:val="NoSpacing"/>
        <w:numPr>
          <w:ilvl w:val="0"/>
          <w:numId w:val="1"/>
        </w:numPr>
        <w:rPr/>
      </w:pPr>
      <w:r>
        <w:rPr/>
        <w:t>Рабочие станции в сборе (далее – товар) новые (оборудование, которое не было в употреблении, в ремонте, в том числе которое не было восстановлено, у которого не была осуществлена замена составных частей, не были восстановлены потребительские свойства).</w:t>
      </w:r>
    </w:p>
    <w:p>
      <w:pPr>
        <w:pStyle w:val="NoSpacing"/>
        <w:numPr>
          <w:ilvl w:val="0"/>
          <w:numId w:val="1"/>
        </w:numPr>
        <w:rPr/>
      </w:pPr>
      <w:r>
        <w:rPr/>
        <w:t>Качество и комплектность товара должны соответствовать стандартным и техническим условиям, должны подтверждаться сертификатом качества, выдаваемым фирмой изготовителем.</w:t>
      </w:r>
    </w:p>
    <w:p>
      <w:pPr>
        <w:pStyle w:val="NoSpacing"/>
        <w:numPr>
          <w:ilvl w:val="0"/>
          <w:numId w:val="1"/>
        </w:numPr>
        <w:rPr/>
      </w:pPr>
      <w:r>
        <w:rPr/>
        <w:t>Техническая документация должна быть выполнена на русском языке типографским способом, ксерокопии документов не допускаются.</w:t>
      </w:r>
    </w:p>
    <w:p>
      <w:pPr>
        <w:pStyle w:val="NoSpacing"/>
        <w:numPr>
          <w:ilvl w:val="0"/>
          <w:numId w:val="1"/>
        </w:numPr>
        <w:rPr>
          <w:b/>
          <w:b/>
          <w:color w:val="FF0000"/>
          <w:sz w:val="24"/>
          <w:szCs w:val="24"/>
          <w:u w:val="single"/>
        </w:rPr>
      </w:pPr>
      <w:r>
        <w:rPr>
          <w:b/>
          <w:color w:val="FF0000"/>
          <w:u w:val="single"/>
        </w:rPr>
        <w:t xml:space="preserve">Товар должен быть полностью совместим и сертифицирован для работы с платформой </w:t>
      </w:r>
      <w:r>
        <w:rPr>
          <w:b/>
          <w:color w:val="FF0000"/>
          <w:sz w:val="24"/>
          <w:szCs w:val="24"/>
          <w:u w:val="single"/>
        </w:rPr>
        <w:t>SITA CUTE.</w:t>
      </w:r>
    </w:p>
    <w:p>
      <w:pPr>
        <w:pStyle w:val="NoSpacing"/>
        <w:numPr>
          <w:ilvl w:val="0"/>
          <w:numId w:val="1"/>
        </w:numPr>
        <w:rPr>
          <w:bCs/>
          <w:color w:val="000000"/>
          <w:lang w:bidi="hi-IN"/>
        </w:rPr>
      </w:pPr>
      <w:r>
        <w:rPr>
          <w:bCs/>
          <w:color w:val="000000"/>
          <w:lang w:bidi="hi-IN"/>
        </w:rPr>
        <w:t>Товар должен быть новым, произведен не ранее 2018 года и соответствовать требованиям, установленным в техническом задании. Качество Товара должно соответствовать требованиям санитарных, технических и всех иных применимых норм и стандартов Российской Федерации, регламентируемых в нормативных документах: ТР ТС 004/2011, ТР ТС 020/2011, стандартам и нормам фирмы-изготовителя,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поставки.</w:t>
      </w:r>
    </w:p>
    <w:p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В случае поставки эквивалента (аналога) или обновления производителем выпускаемых товаров, перечисленных в Таблице № 1, допускается замена компонентов на аналогичные либо улучшенные компоненты, выпускаемые производителем, при условии их совместимости с остальным оборудованием, перечисленным в таблице. Технические характеристики и параметры должны быть подтверждены официальной сопроводительной документацией производителя эквивалентных материалов и комплектующих.</w:t>
      </w:r>
    </w:p>
    <w:p>
      <w:pPr>
        <w:pStyle w:val="NoSpacing"/>
        <w:rPr>
          <w:rFonts w:eastAsia="SimSun"/>
          <w:bCs/>
          <w:color w:val="000000"/>
          <w:lang w:bidi="hi-IN"/>
        </w:rPr>
      </w:pPr>
      <w:r>
        <w:rPr>
          <w:rFonts w:eastAsia="SimSun"/>
          <w:bCs/>
          <w:color w:val="000000"/>
          <w:lang w:bidi="hi-IN"/>
        </w:rPr>
      </w:r>
    </w:p>
    <w:p>
      <w:pPr>
        <w:pStyle w:val="NoSpacing"/>
        <w:jc w:val="center"/>
        <w:rPr>
          <w:rFonts w:eastAsia="SimSun"/>
          <w:b/>
          <w:b/>
          <w:bCs/>
          <w:color w:val="000000"/>
          <w:lang w:bidi="hi-IN"/>
        </w:rPr>
      </w:pPr>
      <w:r>
        <w:rPr/>
      </w:r>
      <w:r>
        <w:br w:type="page"/>
      </w:r>
    </w:p>
    <w:p>
      <w:pPr>
        <w:pStyle w:val="NoSpacing"/>
        <w:jc w:val="center"/>
        <w:rPr/>
      </w:pPr>
      <w:r>
        <w:rPr>
          <w:rFonts w:eastAsia="SimSun"/>
          <w:b/>
          <w:bCs/>
          <w:color w:val="000000"/>
          <w:lang w:bidi="hi-IN"/>
        </w:rPr>
        <w:t>Гарантия</w:t>
      </w:r>
      <w:r>
        <w:rPr>
          <w:b/>
          <w:bCs/>
          <w:color w:val="000000"/>
          <w:lang w:bidi="hi-IN"/>
        </w:rPr>
        <w:t xml:space="preserve"> </w:t>
      </w:r>
      <w:r>
        <w:rPr>
          <w:rFonts w:eastAsia="SimSun"/>
          <w:b/>
          <w:bCs/>
          <w:color w:val="000000"/>
          <w:lang w:bidi="hi-IN"/>
        </w:rPr>
        <w:t>качества</w:t>
      </w:r>
      <w:r>
        <w:rPr>
          <w:b/>
          <w:bCs/>
          <w:color w:val="000000"/>
          <w:lang w:bidi="hi-IN"/>
        </w:rPr>
        <w:t xml:space="preserve"> </w:t>
      </w:r>
      <w:r>
        <w:rPr>
          <w:rFonts w:eastAsia="SimSun"/>
          <w:b/>
          <w:bCs/>
          <w:color w:val="000000"/>
          <w:lang w:bidi="hi-IN"/>
        </w:rPr>
        <w:t>товара:</w:t>
      </w:r>
    </w:p>
    <w:p>
      <w:pPr>
        <w:pStyle w:val="NoSpacing"/>
        <w:rPr>
          <w:color w:val="000000"/>
        </w:rPr>
      </w:pPr>
      <w:r>
        <w:rPr>
          <w:color w:val="000000"/>
        </w:rPr>
        <w:t>Поставщик обеспечивает на поставляемое оборудование 24 месяцев периода гарантийного обслуживания оборудования.</w:t>
      </w:r>
    </w:p>
    <w:p>
      <w:pPr>
        <w:pStyle w:val="NoSpacing"/>
        <w:rPr>
          <w:color w:val="000000"/>
        </w:rPr>
      </w:pPr>
      <w:r>
        <w:rPr>
          <w:color w:val="000000"/>
        </w:rPr>
        <w:t>Поставщик в период гарантийного обслуживания оборудования за свой счет обеспечивает восстановление работоспособности поставленного оборудования в течение 10 (десяти) рабочих дней с момента получения извещения от Заказчика о неисправности оборудования.</w:t>
      </w:r>
    </w:p>
    <w:p>
      <w:pPr>
        <w:pStyle w:val="NoSpacing"/>
        <w:rPr>
          <w:color w:val="000000"/>
          <w:u w:val="single"/>
        </w:rPr>
      </w:pPr>
      <w:r>
        <w:rPr>
          <w:color w:val="000000"/>
          <w:highlight w:val="yellow"/>
          <w:u w:val="single"/>
        </w:rPr>
        <w:t>Поставщик должен иметь не менее одного сервисного центра на территории Приморского края или наличие договора с сервисным центром на период гарантийного обслуживания.</w:t>
      </w:r>
    </w:p>
    <w:p>
      <w:pPr>
        <w:pStyle w:val="NoSpacing"/>
        <w:rPr>
          <w:b/>
          <w:b/>
        </w:rPr>
      </w:pPr>
      <w:r>
        <w:rPr>
          <w:color w:val="000000"/>
        </w:rPr>
        <w:t xml:space="preserve">Гарантийное обслуживание оборудования осуществляется в сервисном центре.  Доставку товара, в сервисный центр и обратно поставщик осуществляет за свой счет. Все запасные части, которые поставщик устанавливает на оборудование в течение гарантийного периода, сертифицированы производителем оборудования. </w:t>
      </w:r>
      <w:r>
        <w:rPr>
          <w:b/>
        </w:rPr>
        <w:t>Требования к документации на оборудование</w:t>
      </w:r>
    </w:p>
    <w:p>
      <w:pPr>
        <w:pStyle w:val="NoSpacing"/>
        <w:rPr>
          <w:color w:val="000000"/>
        </w:rPr>
      </w:pPr>
      <w:r>
        <w:rPr>
          <w:color w:val="000000"/>
        </w:rPr>
        <w:t xml:space="preserve">При поставке товара поставщик передает Заказчику все относящиеся к товару документы (гарантийный талон, технический паспорт, сертификат качества, инструкцию по эксплуатации и т.п.). </w:t>
      </w:r>
    </w:p>
    <w:p>
      <w:pPr>
        <w:pStyle w:val="NoSpacing"/>
        <w:rPr>
          <w:color w:val="000000"/>
        </w:rPr>
      </w:pPr>
      <w:r>
        <w:rPr>
          <w:color w:val="000000"/>
        </w:rPr>
        <w:t>Инструкции по эксплуатации оборудования и технические паспорта на русском языке.</w:t>
      </w:r>
    </w:p>
    <w:p>
      <w:pPr>
        <w:pStyle w:val="Normal"/>
        <w:spacing w:lineRule="auto" w:line="240" w:before="0" w:after="0"/>
        <w:ind w:left="1418" w:hanging="0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right="565" w:hanging="0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  <w:t>Просим Вас сообщить возможность поставки указанной продукции и направить коммерческое предложение с указанием: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  <w:t>- стоимости продукции;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eastAsia="Calibri" w:eastAsiaTheme="minorHAnsi"/>
          <w:color w:val="000000"/>
          <w:lang w:eastAsia="en-US"/>
        </w:rPr>
        <w:t>- стоимость доставки до</w:t>
      </w:r>
      <w:r>
        <w:rPr>
          <w:rFonts w:cs="Times New Roman" w:ascii="Times New Roman" w:hAnsi="Times New Roman"/>
          <w:sz w:val="24"/>
          <w:szCs w:val="28"/>
        </w:rPr>
        <w:t>:</w:t>
      </w:r>
      <w:r>
        <w:rPr>
          <w:iCs/>
        </w:rPr>
        <w:t xml:space="preserve"> </w:t>
      </w:r>
      <w:r>
        <w:rPr>
          <w:b/>
          <w:sz w:val="32"/>
          <w:szCs w:val="28"/>
          <w:u w:val="single"/>
        </w:rPr>
        <w:t>г. Артем</w:t>
      </w:r>
    </w:p>
    <w:p>
      <w:pPr>
        <w:pStyle w:val="NoSpacing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>- срока поставки, с момента размещения заказа.</w:t>
      </w:r>
    </w:p>
    <w:p>
      <w:pPr>
        <w:pStyle w:val="NoSpacing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color w:val="000000"/>
        </w:rPr>
        <w:t>Также, для обеспечения взаимовыгодных условий сотрудничества просим Вас, по возможности, предоставить минимальную цену поставки.</w:t>
      </w:r>
    </w:p>
    <w:sectPr>
      <w:type w:val="nextPage"/>
      <w:pgSz w:orient="landscape" w:w="16838" w:h="11906"/>
      <w:pgMar w:left="709" w:right="820" w:header="0" w:top="426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67a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294f9d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val="x-none" w:eastAsia="en-US"/>
    </w:rPr>
  </w:style>
  <w:style w:type="paragraph" w:styleId="2">
    <w:name w:val="Heading 2"/>
    <w:basedOn w:val="Normal"/>
    <w:link w:val="20"/>
    <w:uiPriority w:val="9"/>
    <w:semiHidden/>
    <w:unhideWhenUsed/>
    <w:qFormat/>
    <w:rsid w:val="00294f9d"/>
    <w:pPr>
      <w:keepNext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Normal"/>
    <w:link w:val="40"/>
    <w:qFormat/>
    <w:rsid w:val="00fe72ba"/>
    <w:pPr>
      <w:keepNext/>
      <w:spacing w:lineRule="auto" w:line="360" w:before="0" w:after="0"/>
      <w:outlineLvl w:val="3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uiPriority w:val="99"/>
    <w:unhideWhenUsed/>
    <w:rsid w:val="00bd6aa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a211d"/>
    <w:rPr>
      <w:b/>
      <w:bCs/>
    </w:rPr>
  </w:style>
  <w:style w:type="character" w:styleId="Style12" w:customStyle="1">
    <w:name w:val="Заголовок Знак"/>
    <w:basedOn w:val="DefaultParagraphFont"/>
    <w:link w:val="aa"/>
    <w:qFormat/>
    <w:rsid w:val="00fe72ba"/>
    <w:rPr>
      <w:rFonts w:ascii="Arial" w:hAnsi="Arial" w:eastAsia="Times New Roman" w:cs="Arial"/>
      <w:b/>
      <w:bCs/>
      <w:sz w:val="28"/>
      <w:szCs w:val="24"/>
    </w:rPr>
  </w:style>
  <w:style w:type="character" w:styleId="41" w:customStyle="1">
    <w:name w:val="Заголовок 4 Знак"/>
    <w:basedOn w:val="DefaultParagraphFont"/>
    <w:link w:val="4"/>
    <w:qFormat/>
    <w:rsid w:val="00fe72ba"/>
    <w:rPr>
      <w:rFonts w:ascii="Times New Roman" w:hAnsi="Times New Roman" w:eastAsia="Times New Roman" w:cs="Times New Roman"/>
      <w:sz w:val="28"/>
      <w:szCs w:val="20"/>
    </w:rPr>
  </w:style>
  <w:style w:type="character" w:styleId="Style13" w:customStyle="1">
    <w:name w:val="Нижний колонтитул Знак"/>
    <w:basedOn w:val="DefaultParagraphFont"/>
    <w:link w:val="ac"/>
    <w:uiPriority w:val="99"/>
    <w:qFormat/>
    <w:rsid w:val="00fe72ba"/>
    <w:rPr>
      <w:rFonts w:ascii="Times New Roman" w:hAnsi="Times New Roman" w:eastAsia="Times New Roman" w:cs="Times New Roman"/>
      <w:sz w:val="20"/>
      <w:szCs w:val="20"/>
    </w:rPr>
  </w:style>
  <w:style w:type="character" w:styleId="Text" w:customStyle="1">
    <w:name w:val="text"/>
    <w:qFormat/>
    <w:rsid w:val="00707b21"/>
    <w:rPr/>
  </w:style>
  <w:style w:type="character" w:styleId="Bodytext3" w:customStyle="1">
    <w:name w:val="Body text (3)_"/>
    <w:link w:val="Bodytext30"/>
    <w:qFormat/>
    <w:rsid w:val="00086493"/>
    <w:rPr>
      <w:rFonts w:ascii="Times New Roman" w:hAnsi="Times New Roman" w:eastAsia="Times New Roman"/>
      <w:shd w:fill="FFFFFF" w:val="clear"/>
    </w:rPr>
  </w:style>
  <w:style w:type="character" w:styleId="Bodytext2" w:customStyle="1">
    <w:name w:val="Body text (2)_"/>
    <w:link w:val="Bodytext20"/>
    <w:qFormat/>
    <w:rsid w:val="00e66448"/>
    <w:rPr>
      <w:rFonts w:ascii="Times New Roman" w:hAnsi="Times New Roman" w:eastAsia="Times New Roman"/>
      <w:shd w:fill="FFFFFF" w:val="clear"/>
    </w:rPr>
  </w:style>
  <w:style w:type="character" w:styleId="Word" w:customStyle="1">
    <w:name w:val="word"/>
    <w:basedOn w:val="DefaultParagraphFont"/>
    <w:qFormat/>
    <w:rsid w:val="00ca7d27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94f9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11" w:customStyle="1">
    <w:name w:val="Заголовок 1 Знак"/>
    <w:basedOn w:val="DefaultParagraphFont"/>
    <w:link w:val="1"/>
    <w:qFormat/>
    <w:rsid w:val="00294f9d"/>
    <w:rPr>
      <w:rFonts w:ascii="Cambria" w:hAnsi="Cambria" w:eastAsia="Times New Roman" w:cs="Times New Roman"/>
      <w:b/>
      <w:bCs/>
      <w:sz w:val="32"/>
      <w:szCs w:val="32"/>
      <w:lang w:val="x-none" w:eastAsia="en-US"/>
    </w:rPr>
  </w:style>
  <w:style w:type="character" w:styleId="Style14" w:customStyle="1">
    <w:name w:val="Абзац списка Знак"/>
    <w:link w:val="a8"/>
    <w:uiPriority w:val="34"/>
    <w:qFormat/>
    <w:locked/>
    <w:rsid w:val="00432ad6"/>
    <w:rPr/>
  </w:style>
  <w:style w:type="character" w:styleId="Style15" w:customStyle="1">
    <w:name w:val="Без интервала Знак"/>
    <w:link w:val="a5"/>
    <w:uiPriority w:val="1"/>
    <w:qFormat/>
    <w:locked/>
    <w:rsid w:val="00636aa7"/>
    <w:rPr>
      <w:rFonts w:eastAsia="Calibri" w:eastAsiaTheme="minorHAnsi"/>
      <w:lang w:eastAsia="en-US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  <w:position w:val="0"/>
      <w:sz w:val="22"/>
      <w:vertAlign w:val="baseline"/>
    </w:rPr>
  </w:style>
  <w:style w:type="character" w:styleId="ListLabel5">
    <w:name w:val="ListLabel 5"/>
    <w:qFormat/>
    <w:rPr>
      <w:b w:val="false"/>
      <w:position w:val="0"/>
      <w:sz w:val="22"/>
      <w:vertAlign w:val="baseline"/>
    </w:rPr>
  </w:style>
  <w:style w:type="character" w:styleId="ListLabel6">
    <w:name w:val="ListLabel 6"/>
    <w:qFormat/>
    <w:rPr>
      <w:b w:val="false"/>
      <w:position w:val="0"/>
      <w:sz w:val="22"/>
      <w:vertAlign w:val="baselin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color w:val="00000A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eastAsia="Times New Roman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sz w:val="28"/>
      <w:szCs w:val="28"/>
    </w:rPr>
  </w:style>
  <w:style w:type="character" w:styleId="ListLabel69">
    <w:name w:val="ListLabel 69"/>
    <w:qFormat/>
    <w:rPr>
      <w:sz w:val="28"/>
      <w:szCs w:val="28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eastAsia="Calibri"/>
      <w:b/>
      <w:color w:val="000000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a6"/>
    <w:uiPriority w:val="1"/>
    <w:qFormat/>
    <w:rsid w:val="0086511d"/>
    <w:pPr>
      <w:widowControl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sz w:val="22"/>
      <w:szCs w:val="22"/>
      <w:lang w:eastAsia="en-US" w:val="ru-RU" w:bidi="ar-SA"/>
    </w:rPr>
  </w:style>
  <w:style w:type="paragraph" w:styleId="12" w:customStyle="1">
    <w:name w:val="Без интервала1"/>
    <w:uiPriority w:val="99"/>
    <w:qFormat/>
    <w:rsid w:val="002f2cf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eastAsia="en-US" w:val="ru-RU" w:bidi="ar-SA"/>
    </w:rPr>
  </w:style>
  <w:style w:type="paragraph" w:styleId="ListParagraph">
    <w:name w:val="List Paragraph"/>
    <w:basedOn w:val="Normal"/>
    <w:link w:val="a9"/>
    <w:uiPriority w:val="34"/>
    <w:qFormat/>
    <w:rsid w:val="004f1e8c"/>
    <w:pPr>
      <w:spacing w:before="0" w:after="200"/>
      <w:ind w:left="720" w:hanging="0"/>
      <w:contextualSpacing/>
    </w:pPr>
    <w:rPr/>
  </w:style>
  <w:style w:type="paragraph" w:styleId="Style21">
    <w:name w:val="Title"/>
    <w:basedOn w:val="Normal"/>
    <w:link w:val="ab"/>
    <w:qFormat/>
    <w:rsid w:val="00fe72ba"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8"/>
      <w:szCs w:val="24"/>
    </w:rPr>
  </w:style>
  <w:style w:type="paragraph" w:styleId="Style22">
    <w:name w:val="Footer"/>
    <w:basedOn w:val="Normal"/>
    <w:link w:val="ad"/>
    <w:uiPriority w:val="99"/>
    <w:rsid w:val="00fe72ba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lockText">
    <w:name w:val="Block Text"/>
    <w:basedOn w:val="Normal"/>
    <w:qFormat/>
    <w:rsid w:val="00fe72ba"/>
    <w:pPr>
      <w:overflowPunct w:val="true"/>
      <w:spacing w:lineRule="auto" w:line="240" w:before="0" w:after="0"/>
      <w:ind w:left="426" w:right="141" w:firstLine="142"/>
      <w:jc w:val="both"/>
    </w:pPr>
    <w:rPr>
      <w:rFonts w:ascii="Arial" w:hAnsi="Arial" w:eastAsia="Times New Roman" w:cs="Times New Roman"/>
      <w:szCs w:val="20"/>
      <w:lang w:eastAsia="ar-SA"/>
    </w:rPr>
  </w:style>
  <w:style w:type="paragraph" w:styleId="Bodytext31" w:customStyle="1">
    <w:name w:val="Body text (3)"/>
    <w:basedOn w:val="Normal"/>
    <w:link w:val="Bodytext3"/>
    <w:qFormat/>
    <w:rsid w:val="00086493"/>
    <w:pPr>
      <w:widowControl w:val="false"/>
      <w:shd w:val="clear" w:color="auto" w:fill="FFFFFF"/>
      <w:spacing w:lineRule="exact" w:line="315" w:before="0" w:after="300"/>
      <w:jc w:val="center"/>
    </w:pPr>
    <w:rPr>
      <w:rFonts w:ascii="Times New Roman" w:hAnsi="Times New Roman" w:eastAsia="Times New Roman"/>
      <w:b/>
      <w:bCs/>
    </w:rPr>
  </w:style>
  <w:style w:type="paragraph" w:styleId="Bodytext21" w:customStyle="1">
    <w:name w:val="Body text (2)"/>
    <w:basedOn w:val="Normal"/>
    <w:link w:val="Bodytext2"/>
    <w:qFormat/>
    <w:rsid w:val="00e66448"/>
    <w:pPr>
      <w:widowControl w:val="false"/>
      <w:shd w:val="clear" w:color="auto" w:fill="FFFFFF"/>
      <w:spacing w:lineRule="exact" w:line="255" w:before="60" w:after="0"/>
    </w:pPr>
    <w:rPr>
      <w:rFonts w:ascii="Times New Roman" w:hAnsi="Times New Roman" w:eastAsia="Times New Roman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d6a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E98F-283E-4A87-97D2-B2926C9B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LibreOffice/5.1.6.2$Linux_X86_64 LibreOffice_project/10m0$Build-2</Application>
  <Pages>5</Pages>
  <Words>1363</Words>
  <Characters>8489</Characters>
  <CharactersWithSpaces>9724</CharactersWithSpaces>
  <Paragraphs>172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2018-08-09T05:40:00Z</dcterms:created>
  <dc:creator>User</dc:creator>
  <dc:description/>
  <dc:language>ru-RU</dc:language>
  <cp:lastModifiedBy/>
  <dcterms:modified xsi:type="dcterms:W3CDTF">2019-02-14T14:57:09Z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