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372" w:hanging="0"/>
        <w:jc w:val="both"/>
        <w:rPr>
          <w:b/>
          <w:b/>
        </w:rPr>
      </w:pPr>
      <w:r>
        <w:rPr/>
      </w:r>
    </w:p>
    <w:p>
      <w:pPr>
        <w:pStyle w:val="Normal"/>
        <w:ind w:firstLine="993"/>
        <w:rPr/>
      </w:pPr>
      <w:r>
        <w:rPr/>
      </w:r>
    </w:p>
    <w:p>
      <w:pPr>
        <w:pStyle w:val="Normal"/>
        <w:ind w:firstLine="993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ТЕХНИЧЕСКОЕ ЗАДАНИЕ</w:t>
      </w:r>
    </w:p>
    <w:p>
      <w:pPr>
        <w:pStyle w:val="Normal"/>
        <w:jc w:val="center"/>
        <w:rPr/>
      </w:pPr>
      <w:r>
        <w:rPr/>
        <w:t>на выполнение лабораторного анализа состояния рабочей жидкости используемой в гидравлической части прессового оборудования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 xml:space="preserve">Для отслеживания состояния рабочей жидкости используемой в гидравлической части прессового оборудования, необходимо выполнить анализ текущего состояния 4-х проб масла </w:t>
      </w:r>
      <w:r>
        <w:rPr>
          <w:lang w:val="en-US"/>
        </w:rPr>
        <w:t>Mobill</w:t>
      </w:r>
      <w:r>
        <w:rPr/>
        <w:t xml:space="preserve"> (Esso) Nuto H 46, по следующим характеристикам с применением любого из перечисленных стандартов, но в указанных единицах измерения:</w:t>
      </w:r>
    </w:p>
    <w:p>
      <w:pPr>
        <w:pStyle w:val="Normal"/>
        <w:ind w:firstLine="709"/>
        <w:jc w:val="both"/>
        <w:rPr/>
      </w:pPr>
      <w:r>
        <w:rPr/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613"/>
        <w:gridCol w:w="3372"/>
        <w:gridCol w:w="5370"/>
      </w:tblGrid>
      <w:tr>
        <w:trPr>
          <w:trHeight w:val="397" w:hRule="atLeast"/>
        </w:trPr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outlineLvl w:val="0"/>
              <w:rPr/>
            </w:pPr>
            <w:r>
              <w:rPr/>
              <w:t>Общие сведения: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Заказчик (Владелец)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Россия, Калужская область, 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г. Обнинск, Киевское шоссе, д.57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Источник финансирования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Средства Заказчика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1.3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Требования к исполнителю: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2"/>
                <w:numId w:val="2"/>
              </w:numPr>
              <w:ind w:left="601" w:hanging="567"/>
              <w:rPr/>
            </w:pPr>
            <w:r>
              <w:rPr/>
              <w:t>Проводится специализированными организациями, аккредитованными на право проведения анализов масла в установленном порядке.</w:t>
            </w:r>
          </w:p>
          <w:p>
            <w:pPr>
              <w:pStyle w:val="ListParagraph"/>
              <w:numPr>
                <w:ilvl w:val="2"/>
                <w:numId w:val="2"/>
              </w:numPr>
              <w:ind w:left="601" w:hanging="567"/>
              <w:rPr/>
            </w:pPr>
            <w:r>
              <w:rPr/>
              <w:t>Наличие удостоверений и документов, подтверждающих соответствующую для данного вида работ квалификацию.</w:t>
            </w:r>
          </w:p>
          <w:p>
            <w:pPr>
              <w:pStyle w:val="ListParagraph"/>
              <w:numPr>
                <w:ilvl w:val="2"/>
                <w:numId w:val="2"/>
              </w:numPr>
              <w:ind w:left="601" w:hanging="567"/>
              <w:outlineLvl w:val="0"/>
              <w:rPr/>
            </w:pPr>
            <w:r>
              <w:rPr/>
              <w:t>Тара для отбора проб в объеме необходимом для выполнения анализа – предоставляется исполнителем работ.</w:t>
            </w:r>
          </w:p>
          <w:p>
            <w:pPr>
              <w:pStyle w:val="ListParagraph"/>
              <w:numPr>
                <w:ilvl w:val="2"/>
                <w:numId w:val="2"/>
              </w:numPr>
              <w:ind w:left="601" w:hanging="567"/>
              <w:outlineLvl w:val="0"/>
              <w:rPr/>
            </w:pPr>
            <w:r>
              <w:rPr/>
              <w:t>Исполнитель передаёт Заказчику Протоколы анализов масла и акты выполненных работ.</w:t>
            </w:r>
          </w:p>
        </w:tc>
      </w:tr>
      <w:tr>
        <w:trPr>
          <w:trHeight w:val="397" w:hRule="atLeast"/>
        </w:trPr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outlineLvl w:val="0"/>
              <w:rPr/>
            </w:pPr>
            <w:r>
              <w:rPr/>
              <w:t>Объём работ:</w:t>
            </w:r>
          </w:p>
        </w:tc>
      </w:tr>
      <w:tr>
        <w:trPr>
          <w:trHeight w:val="397" w:hRule="atLeast"/>
        </w:trPr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ind w:left="720" w:hanging="0"/>
              <w:outlineLvl w:val="0"/>
              <w:rPr/>
            </w:pPr>
            <w:r>
              <w:rPr/>
              <w:t>Отбор и анализ 4-х проб рабочей жидкости в требуемом объеме.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Проба №1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Тип оборудования: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Экструзионный пресс фирмы «</w:t>
            </w:r>
            <w:r>
              <w:rPr>
                <w:lang w:val="en-US"/>
              </w:rPr>
              <w:t>Presezzi</w:t>
            </w:r>
            <w:r>
              <w:rPr/>
              <w:t>» -1250 т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/>
              <w:t>Рабочая</w:t>
            </w:r>
            <w:r>
              <w:rPr>
                <w:lang w:val="en-US"/>
              </w:rPr>
              <w:t xml:space="preserve"> </w:t>
            </w:r>
            <w:r>
              <w:rPr/>
              <w:t>жидкость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>
                <w:lang w:val="en-US"/>
              </w:rPr>
              <w:t>Mobill (Esso) Nuto H 46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2.2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Проба №2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Тип оборудования: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Экструзионный пресс фирмы «</w:t>
            </w:r>
            <w:r>
              <w:rPr>
                <w:lang w:val="en-US"/>
              </w:rPr>
              <w:t>Presezzi</w:t>
            </w:r>
            <w:r>
              <w:rPr/>
              <w:t>» -1800 т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/>
              <w:t>Рабочая</w:t>
            </w:r>
            <w:r>
              <w:rPr>
                <w:lang w:val="en-US"/>
              </w:rPr>
              <w:t xml:space="preserve"> </w:t>
            </w:r>
            <w:r>
              <w:rPr/>
              <w:t>жидкость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>
                <w:lang w:val="en-US"/>
              </w:rPr>
              <w:t>Mobill (Esso) Nuto H 46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2.3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Проба №3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Тип оборудования: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Экструзионный пресс фирмы «</w:t>
            </w:r>
            <w:r>
              <w:rPr>
                <w:lang w:val="en-US"/>
              </w:rPr>
              <w:t>Presezzi</w:t>
            </w:r>
            <w:r>
              <w:rPr/>
              <w:t>» -1250 т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/>
              <w:t>Рабочая</w:t>
            </w:r>
            <w:r>
              <w:rPr>
                <w:lang w:val="en-US"/>
              </w:rPr>
              <w:t xml:space="preserve"> </w:t>
            </w:r>
            <w:r>
              <w:rPr/>
              <w:t>жидкость</w:t>
            </w:r>
            <w:r>
              <w:rPr>
                <w:lang w:val="en-US"/>
              </w:rPr>
              <w:t>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>
                <w:lang w:val="en-US"/>
              </w:rPr>
              <w:t>Mobill (Esso) Nuto H 46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2.4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Проба №4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Рабочая жидкость не бывшая в употреблении: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Mobill (Esso) Nuto H 46</w:t>
            </w:r>
          </w:p>
        </w:tc>
      </w:tr>
      <w:tr>
        <w:trPr>
          <w:trHeight w:val="397" w:hRule="atLeast"/>
        </w:trPr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outlineLvl w:val="0"/>
              <w:rPr/>
            </w:pPr>
            <w:r>
              <w:rPr/>
              <w:t>Перечень показателей, необходимых для проведения испытания: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3.1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>Количество частиц</w:t>
            </w:r>
          </w:p>
          <w:p>
            <w:pPr>
              <w:pStyle w:val="Normal"/>
              <w:rPr/>
            </w:pPr>
            <w:r>
              <w:rPr/>
              <w:t>(класс чистоты)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по </w:t>
            </w:r>
            <w:r>
              <w:rPr>
                <w:lang w:val="en-US"/>
              </w:rPr>
              <w:t>ISO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ISO 4406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ГОСТ 17216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3.2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Кинематическая вязкость при 40°С</w:t>
            </w:r>
          </w:p>
        </w:tc>
        <w:tc>
          <w:tcPr>
            <w:tcW w:w="5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сСт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ISO 3104; </w:t>
            </w:r>
            <w:r>
              <w:rPr/>
              <w:t>ГОСТ</w:t>
            </w:r>
            <w:r>
              <w:rPr>
                <w:lang w:val="en-US"/>
              </w:rPr>
              <w:t xml:space="preserve"> 33; ASTM D445; JIS K2283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DIN 51562,часть 1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3.3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Кинематическая вязкость при 100°С</w:t>
            </w:r>
          </w:p>
        </w:tc>
        <w:tc>
          <w:tcPr>
            <w:tcW w:w="53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3.4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lang w:val="en-US"/>
              </w:rPr>
            </w:pPr>
            <w:r>
              <w:rPr/>
              <w:t>Кислотное</w:t>
            </w:r>
            <w:r>
              <w:rPr>
                <w:lang w:val="en-US"/>
              </w:rPr>
              <w:t xml:space="preserve"> </w:t>
            </w:r>
            <w:r>
              <w:rPr/>
              <w:t>число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(TAN - total acid numbe)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мг КОН/г 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ISO</w:t>
            </w:r>
            <w:r>
              <w:rPr/>
              <w:t xml:space="preserve"> 6618 (6619); ГОСТ 11362 (5975-79);</w:t>
            </w:r>
          </w:p>
          <w:p>
            <w:pPr>
              <w:pStyle w:val="Normal"/>
              <w:rPr/>
            </w:pPr>
            <w:r>
              <w:rPr/>
              <w:t>А</w:t>
            </w:r>
            <w:r>
              <w:rPr>
                <w:lang w:val="en-US"/>
              </w:rPr>
              <w:t>STM</w:t>
            </w:r>
            <w:r>
              <w:rPr/>
              <w:t xml:space="preserve"> </w:t>
            </w:r>
            <w:r>
              <w:rPr>
                <w:lang w:val="en-US"/>
              </w:rPr>
              <w:t>D</w:t>
            </w:r>
            <w:r>
              <w:rPr/>
              <w:t>974 (</w:t>
            </w:r>
            <w:r>
              <w:rPr>
                <w:lang w:val="en-US"/>
              </w:rPr>
              <w:t>D</w:t>
            </w:r>
            <w:r>
              <w:rPr/>
              <w:t xml:space="preserve">664); </w:t>
            </w:r>
            <w:r>
              <w:rPr>
                <w:lang w:val="en-US"/>
              </w:rPr>
              <w:t>JIS</w:t>
            </w:r>
            <w:r>
              <w:rPr/>
              <w:t xml:space="preserve"> </w:t>
            </w:r>
            <w:r>
              <w:rPr>
                <w:lang w:val="en-US"/>
              </w:rPr>
              <w:t>K</w:t>
            </w:r>
            <w:r>
              <w:rPr/>
              <w:t>2501; DIN 51558,часть 1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3.5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Температура вспышки в открытом тигле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 xml:space="preserve">°С 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 xml:space="preserve">ISO 2592 (2719); </w:t>
            </w:r>
            <w:r>
              <w:rPr/>
              <w:t>ГОСТ</w:t>
            </w:r>
            <w:r>
              <w:rPr>
                <w:lang w:val="en-US"/>
              </w:rPr>
              <w:t xml:space="preserve"> 4333; ASTM D92;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DIN ISO 2592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3.6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val="en-US"/>
              </w:rPr>
              <w:t>Плотность при 15</w:t>
            </w:r>
            <w:r>
              <w:rPr/>
              <w:t xml:space="preserve"> (20)</w:t>
            </w:r>
            <w:r>
              <w:rPr>
                <w:lang w:val="en-US"/>
              </w:rPr>
              <w:t xml:space="preserve"> °С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кг/м</w:t>
            </w:r>
            <w:r>
              <w:rPr>
                <w:vertAlign w:val="superscript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ISO 3675; ASTM D 1298; ГОСТ 3900; JIS K2249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lang w:val="en-US"/>
              </w:rPr>
            </w:pPr>
            <w:r>
              <w:rPr>
                <w:lang w:val="en-US"/>
              </w:rPr>
              <w:t>DIN 51757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3.7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Содержание воды (влаги)</w:t>
            </w:r>
          </w:p>
          <w:p>
            <w:pPr>
              <w:pStyle w:val="Normal"/>
              <w:rPr/>
            </w:pPr>
            <w:r>
              <w:rPr/>
              <w:t>(или процент насыщения масла влагой)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%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ASTM</w:t>
            </w:r>
            <w:r>
              <w:rPr/>
              <w:t xml:space="preserve"> </w:t>
            </w:r>
            <w:r>
              <w:rPr>
                <w:lang w:val="en-US"/>
              </w:rPr>
              <w:t>E</w:t>
            </w:r>
            <w:r>
              <w:rPr/>
              <w:t xml:space="preserve"> 2412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Примечание:</w:t>
            </w:r>
          </w:p>
          <w:p>
            <w:pPr>
              <w:pStyle w:val="Normal"/>
              <w:rPr/>
            </w:pPr>
            <w:r>
              <w:rPr/>
              <w:t xml:space="preserve">желательно измерение содержания влаги в %-те насыщения (0-100%) Т.е. измерение того насколько близко содержание воды в масле к уровню 100% насыщения водой данного масла и таким образом появления свободной воды. Данный принцип применяется в таких сенсорах влаги как </w:t>
            </w:r>
            <w:r>
              <w:rPr>
                <w:lang w:val="en-US"/>
              </w:rPr>
              <w:t>Pall</w:t>
            </w:r>
            <w:r>
              <w:rPr/>
              <w:t xml:space="preserve"> </w:t>
            </w:r>
            <w:r>
              <w:rPr>
                <w:lang w:val="en-US"/>
              </w:rPr>
              <w:t>WS</w:t>
            </w:r>
            <w:r>
              <w:rPr/>
              <w:t>19 или например в датчиках присутствия воды AS 1000 (</w:t>
            </w:r>
            <w:r>
              <w:rPr>
                <w:lang w:val="en-US"/>
              </w:rPr>
              <w:t>HYDAC</w:t>
            </w:r>
            <w:r>
              <w:rPr/>
              <w:t>)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3.8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Индикаторы износа </w:t>
            </w:r>
          </w:p>
          <w:p>
            <w:pPr>
              <w:pStyle w:val="Normal"/>
              <w:rPr/>
            </w:pPr>
            <w:r>
              <w:rPr/>
              <w:t>(</w:t>
            </w:r>
            <w:r>
              <w:rPr>
                <w:lang w:val="en-US"/>
              </w:rPr>
              <w:t>Al</w:t>
            </w:r>
            <w:r>
              <w:rPr/>
              <w:t xml:space="preserve">, </w:t>
            </w:r>
            <w:r>
              <w:rPr>
                <w:lang w:val="en-US"/>
              </w:rPr>
              <w:t>Cr</w:t>
            </w:r>
            <w:r>
              <w:rPr/>
              <w:t xml:space="preserve">, </w:t>
            </w:r>
            <w:r>
              <w:rPr>
                <w:lang w:val="en-US"/>
              </w:rPr>
              <w:t>Cu</w:t>
            </w:r>
            <w:r>
              <w:rPr/>
              <w:t xml:space="preserve">, </w:t>
            </w:r>
            <w:r>
              <w:rPr>
                <w:lang w:val="en-US"/>
              </w:rPr>
              <w:t>Fe</w:t>
            </w:r>
            <w:r>
              <w:rPr/>
              <w:t xml:space="preserve">, </w:t>
            </w:r>
            <w:r>
              <w:rPr>
                <w:lang w:val="en-US"/>
              </w:rPr>
              <w:t>Mo</w:t>
            </w:r>
            <w:r>
              <w:rPr/>
              <w:t xml:space="preserve">, </w:t>
            </w:r>
            <w:r>
              <w:rPr>
                <w:lang w:val="en-US"/>
              </w:rPr>
              <w:t>Ni</w:t>
            </w:r>
            <w:r>
              <w:rPr/>
              <w:t xml:space="preserve">, </w:t>
            </w:r>
            <w:r>
              <w:rPr>
                <w:lang w:val="en-US"/>
              </w:rPr>
              <w:t>Pb</w:t>
            </w:r>
            <w:r>
              <w:rPr/>
              <w:t xml:space="preserve">, </w:t>
            </w:r>
            <w:r>
              <w:rPr>
                <w:lang w:val="en-US"/>
              </w:rPr>
              <w:t>Sn</w:t>
            </w:r>
            <w:r>
              <w:rPr/>
              <w:t>)</w:t>
            </w:r>
          </w:p>
        </w:tc>
        <w:tc>
          <w:tcPr>
            <w:tcW w:w="5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ед. изм.: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ppm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  <w:t>методы испытания:</w:t>
            </w:r>
          </w:p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>
                <w:lang w:val="en-US"/>
              </w:rPr>
              <w:t>ASTM</w:t>
            </w:r>
            <w:r>
              <w:rPr/>
              <w:t xml:space="preserve"> </w:t>
            </w:r>
            <w:r>
              <w:rPr>
                <w:lang w:val="en-US"/>
              </w:rPr>
              <w:t>E</w:t>
            </w:r>
            <w:r>
              <w:rPr/>
              <w:t xml:space="preserve"> 2412</w:t>
            </w:r>
          </w:p>
        </w:tc>
      </w:tr>
      <w:tr>
        <w:trPr>
          <w:trHeight w:val="397" w:hRule="atLeast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3.9</w:t>
            </w:r>
          </w:p>
        </w:tc>
        <w:tc>
          <w:tcPr>
            <w:tcW w:w="3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Элементы загрязнений </w:t>
            </w:r>
          </w:p>
          <w:p>
            <w:pPr>
              <w:pStyle w:val="Normal"/>
              <w:rPr/>
            </w:pPr>
            <w:r>
              <w:rPr/>
              <w:t xml:space="preserve">(Si, Na, K, </w:t>
            </w:r>
            <w:r>
              <w:rPr>
                <w:lang w:val="en-US"/>
              </w:rPr>
              <w:t>B</w:t>
            </w:r>
            <w:r>
              <w:rPr/>
              <w:t>)</w:t>
            </w:r>
          </w:p>
        </w:tc>
        <w:tc>
          <w:tcPr>
            <w:tcW w:w="53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/>
            </w:pPr>
            <w:r>
              <w:rPr/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/>
      </w:pPr>
      <w:bookmarkStart w:id="0" w:name="_Hlk525224089"/>
      <w:bookmarkStart w:id="1" w:name="_Hlk525224089"/>
      <w:bookmarkEnd w:id="1"/>
      <w:r>
        <w:rPr/>
      </w:r>
    </w:p>
    <w:p>
      <w:pPr>
        <w:pStyle w:val="Normal"/>
        <w:spacing w:lineRule="auto" w:line="259" w:before="0" w:after="160"/>
        <w:rPr>
          <w:rFonts w:eastAsia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567" w:top="1843" w:footer="708" w:bottom="198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-1080135</wp:posOffset>
          </wp:positionH>
          <wp:positionV relativeFrom="paragraph">
            <wp:posOffset>-350520</wp:posOffset>
          </wp:positionV>
          <wp:extent cx="7545705" cy="1076325"/>
          <wp:effectExtent l="0" t="0" r="0" b="0"/>
          <wp:wrapNone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885" w:hanging="52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8e46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12621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8e46c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81262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3FD9-FB6A-46DE-B5C8-FDE5C5C1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3</Pages>
  <Words>419</Words>
  <Characters>2475</Characters>
  <CharactersWithSpaces>2793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2019-02-27T08:00:00Z</dcterms:created>
  <dc:creator>Хабенко Денис</dc:creator>
  <dc:description/>
  <dc:language>ru-RU</dc:language>
  <cp:lastModifiedBy/>
  <cp:lastPrinted>2019-02-27T08:00:00Z</cp:lastPrinted>
  <dcterms:modified xsi:type="dcterms:W3CDTF">2019-02-27T16:38:30Z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