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>
          <w:rFonts w:ascii="Bookman Old Style" w:hAnsi="Bookman Old Style"/>
          <w:b/>
          <w:sz w:val="21"/>
          <w:szCs w:val="21"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</w:rPr>
      </w:pPr>
      <w:r>
        <w:rPr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поставки: </w:t>
      </w:r>
      <w:r>
        <w:rPr>
          <w:rFonts w:ascii="Bookman Old Style" w:hAnsi="Bookman Old Style"/>
          <w:b/>
          <w:sz w:val="22"/>
          <w:szCs w:val="22"/>
        </w:rPr>
        <w:t>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-470" w:tblpY="82" w:topFromText="0" w:vertAnchor="text"/>
        <w:tblW w:w="1034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1"/>
        <w:gridCol w:w="2694"/>
        <w:gridCol w:w="4252"/>
        <w:gridCol w:w="1701"/>
        <w:gridCol w:w="1135"/>
      </w:tblGrid>
      <w:tr>
        <w:trPr>
          <w:trHeight w:val="983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Наименование продукции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Техническое характеристики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Место</w:t>
            </w:r>
          </w:p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Выполнения работ/оказания услуг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Кол-во*</w:t>
            </w:r>
          </w:p>
        </w:tc>
      </w:tr>
      <w:tr>
        <w:trPr>
          <w:trHeight w:val="264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Пирометр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AST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A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4-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S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EX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Инфракрасный бесконтакный пирометр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AST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A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4-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S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-</w:t>
            </w:r>
            <w:r>
              <w:rPr>
                <w:rFonts w:eastAsia="Times New Roman" w:ascii="Bookman Old Style" w:hAnsi="Bookman Old Style"/>
                <w:sz w:val="21"/>
                <w:szCs w:val="21"/>
                <w:lang w:val="en-US" w:eastAsia="ru-RU"/>
              </w:rPr>
              <w:t>EX</w:t>
            </w: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 xml:space="preserve"> со встроенной системой сканирования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шт.</w:t>
            </w:r>
          </w:p>
        </w:tc>
      </w:tr>
      <w:tr>
        <w:trPr>
          <w:trHeight w:val="354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Соединительный кабель для пирометра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12-контактный, L=20 м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шт.</w:t>
            </w:r>
          </w:p>
        </w:tc>
      </w:tr>
      <w:tr>
        <w:trPr>
          <w:trHeight w:val="274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Адаптер для трубки продувки воздухом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для пирометров А4-IN и А4-ЕХ.200-04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шт.</w:t>
            </w:r>
          </w:p>
        </w:tc>
      </w:tr>
      <w:tr>
        <w:trPr>
          <w:trHeight w:val="208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Трубка продувки воздухом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D= 300 мм, для пирометров А4-IN и А4-ЕХ.200-04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шт.</w:t>
            </w:r>
          </w:p>
        </w:tc>
      </w:tr>
      <w:tr>
        <w:trPr>
          <w:trHeight w:val="212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Монохромный цифровой дисплей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ascii="Bookman Old Style" w:hAnsi="Bookman Old Style"/>
                <w:sz w:val="21"/>
                <w:szCs w:val="21"/>
                <w:lang w:eastAsia="ru-RU"/>
              </w:rPr>
              <w:t>В комплекте с кабелем питания, L=4 м</w:t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 шт.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закупаемой продукции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Подтверждение соответствия Продукции:</w:t>
      </w:r>
      <w:r>
        <w:rPr>
          <w:rFonts w:ascii="Bookman Old Style" w:hAnsi="Bookman Old Style"/>
          <w:sz w:val="22"/>
          <w:szCs w:val="22"/>
        </w:rPr>
        <w:t xml:space="preserve"> Копия паспорта/сертификата качества. 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</w:t>
        <w:tab/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Дополнительные требования:</w:t>
      </w:r>
      <w:r>
        <w:rPr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для не производителей, предоставить копии дилерских писем или договоров с производителем.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30 дн.)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7.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8.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9.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27 марта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lang w:val="en-US"/>
        </w:rPr>
      </w:pPr>
      <w:hyperlink r:id="rId2">
        <w:r>
          <w:rPr/>
        </w:r>
      </w:hyperlink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pacing w:lineRule="atLeast" w:line="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pacing w:lineRule="atLeast" w:line="20"/>
        <w:jc w:val="both"/>
        <w:rPr>
          <w:rFonts w:ascii="Bookman Old Style" w:hAnsi="Bookman Old Style" w:eastAsia="Times New Roman"/>
          <w:lang w:eastAsia="ar-SA"/>
        </w:rPr>
      </w:pPr>
      <w:r>
        <w:rPr>
          <w:rFonts w:eastAsia="Times New Roman" w:ascii="Bookman Old Style" w:hAnsi="Bookman Old Style"/>
          <w:lang w:eastAsia="ar-SA"/>
        </w:rPr>
      </w:r>
    </w:p>
    <w:p>
      <w:pPr>
        <w:pStyle w:val="Normal"/>
        <w:spacing w:lineRule="atLeast" w:line="20"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46d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2</Pages>
  <Words>185</Words>
  <Characters>1200</Characters>
  <CharactersWithSpaces>1352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2019-03-20T11:44:00Z</dcterms:created>
  <dc:creator>Хабенко Денис</dc:creator>
  <dc:description/>
  <dc:language>ru-RU</dc:language>
  <cp:lastModifiedBy/>
  <cp:lastPrinted>2019-03-20T11:44:00Z</cp:lastPrinted>
  <dcterms:modified xsi:type="dcterms:W3CDTF">2019-03-20T20:52:11Z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