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6"/>
        <w:widowControl/>
        <w:spacing w:lineRule="atLeast" w:line="360"/>
        <w:ind w:left="0" w:right="0" w:hanging="0"/>
        <w:rPr/>
      </w:pPr>
      <w:r>
        <w:rPr>
          <w:rStyle w:val="Style14"/>
          <w:rFonts w:ascii="Helvetica;sans-serif" w:hAnsi="Helvetica;sans-serif"/>
          <w:b w:val="false"/>
          <w:i w:val="false"/>
          <w:caps w:val="false"/>
          <w:smallCaps w:val="false"/>
          <w:color w:val="333333"/>
          <w:spacing w:val="0"/>
          <w:sz w:val="32"/>
          <w:highlight w:val="white"/>
        </w:rPr>
        <w:t>Жидкость противообледенительная</w:t>
      </w:r>
      <w:r>
        <w:rPr>
          <w:rFonts w:ascii="Helvetica;sans-serif" w:hAnsi="Helvetica;sans-serif"/>
          <w:b w:val="false"/>
          <w:i w:val="false"/>
          <w:caps w:val="false"/>
          <w:smallCaps w:val="false"/>
          <w:color w:val="333333"/>
          <w:spacing w:val="0"/>
          <w:sz w:val="32"/>
          <w:highlight w:val="white"/>
        </w:rPr>
        <w:t>. для обработки искусственных покрытий, антигололедный. Жидкий антигололедный реагент, для обработки искусственных покрытий, плотность -1,35 ±0,02</w:t>
      </w:r>
    </w:p>
    <w:p>
      <w:pPr>
        <w:pStyle w:val="Style16"/>
        <w:widowControl/>
        <w:spacing w:lineRule="atLeast" w:line="315"/>
        <w:ind w:left="0" w:right="0" w:hanging="0"/>
        <w:rPr/>
      </w:pPr>
      <w:r>
        <w:rPr>
          <w:rFonts w:ascii="Helvetica;sans-serif" w:hAnsi="Helvetica;sans-serif"/>
          <w:b w:val="false"/>
          <w:i w:val="false"/>
          <w:caps w:val="false"/>
          <w:smallCaps w:val="false"/>
          <w:color w:val="333333"/>
          <w:spacing w:val="0"/>
          <w:sz w:val="28"/>
        </w:rPr>
        <w:t>Потребность; </w:t>
      </w:r>
      <w:r>
        <w:rPr>
          <w:rStyle w:val="Style14"/>
          <w:rFonts w:ascii="Helvetica;sans-serif" w:hAnsi="Helvetica;sans-serif"/>
          <w:b w:val="false"/>
          <w:i w:val="false"/>
          <w:caps w:val="false"/>
          <w:smallCaps w:val="false"/>
          <w:color w:val="333333"/>
          <w:spacing w:val="0"/>
          <w:sz w:val="28"/>
        </w:rPr>
        <w:t>130 тонн</w:t>
      </w:r>
    </w:p>
    <w:p>
      <w:pPr>
        <w:pStyle w:val="Style16"/>
        <w:widowControl/>
        <w:spacing w:lineRule="atLeast" w:line="195"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18"/>
        </w:rPr>
        <w:t>Техническая спецификация на противообледенительную</w:t>
        <w:br/>
        <w:t>жидкость 1. Наименование изделия (оборудования, работ, услуг).</w:t>
        <w:br/>
        <w:t>Противообледенительная жидкость (антигололедный реагент) 2.</w:t>
        <w:br/>
        <w:t>Предназначение изделия (оборудования, работ, услуг).</w:t>
        <w:br/>
        <w:t>Противообледенительная жидкость (антигололедный</w:t>
        <w:br/>
        <w:t>реагент)предназначен для применения на бетонном,</w:t>
        <w:br/>
        <w:t>железобетонном, асфальтобетонном аэродромном покрытии при</w:t>
        <w:br/>
        <w:t>угрозе возникновения гололедных образований, а так же для</w:t>
        <w:br/>
        <w:t>удаления уже образовавшегося на покрытии льда и укатанного</w:t>
        <w:br/>
        <w:t>снега. 3. Основные требования, предъявляемые к изделию</w:t>
        <w:br/>
        <w:t>(оборудованию, работам, услугам). Противообледенительная</w:t>
        <w:br/>
        <w:t>жидкость (антигололедный реагент) должен представлять собой</w:t>
        <w:br/>
        <w:t>водный раствор формиата калия с ингибиторными</w:t>
        <w:br/>
        <w:t>добавками,прозрачную от светло-желтого до светло-коричневого</w:t>
        <w:br/>
        <w:t>оттенкажидкость без каких-либо видимых примесей. Реагент</w:t>
        <w:br/>
        <w:t>должен обладать низким коррозийным воздействием</w:t>
        <w:br/>
        <w:t>обеспечивающей его распределение машинами и механизмами</w:t>
        <w:br/>
        <w:t>имеющих металлические распределительные емкости без</w:t>
        <w:br/>
        <w:t>антикоррозийного покрытия, и применение на цементобетонных,</w:t>
        <w:br/>
        <w:t>железобетонных, асфальтобетонных покрытиях. 4. Технические</w:t>
        <w:br/>
        <w:t>характеристики изделия (оборудования, работ, услуг). № п/п</w:t>
        <w:br/>
        <w:t>Наименование позиции, ед. измерения Качественные и</w:t>
        <w:br/>
        <w:t>функциональные характеристики Наименование стандарта, метод</w:t>
        <w:br/>
        <w:t>испытания Антигололедный реагент 1 Плотность раствора, г/см3</w:t>
        <w:br/>
        <w:t>1,35 ± 0,02 - 2 Водородный показатель (pH) 7,0-11,5 АМS1435C</w:t>
        <w:br/>
        <w:t>(ASTMD 891 либо аналогичный метод) 3 Коррозийное</w:t>
        <w:br/>
        <w:t>воздействие (алюмин. сплавы) при полном погружении, мг/см2за</w:t>
        <w:br/>
        <w:t>24 час не более 0,3 АМS1435C (ASTMF483 либо аналогичный</w:t>
        <w:br/>
        <w:t>метод) 4 Коррозийное воздействие (магниевые сплавы) при</w:t>
        <w:br/>
        <w:t>полном погружении, мг/см2 за 24 час не более 0,2 АМS1435C</w:t>
        <w:br/>
        <w:t>(ASTMF483 либо аналогичный метод) 5 Коррозийное воздействие</w:t>
        <w:br/>
        <w:t>(титановые сплавы) при полном погружении, мг/см2 за 24 час не</w:t>
        <w:br/>
        <w:t>более 0,1 АМS1435C (ASTMF483 либо аналогичный метод) 6</w:t>
        <w:br/>
        <w:t>Уровень воздействия на бетонное покрытие после 50 циклов</w:t>
        <w:br/>
        <w:t>замораживания- оттаивания не более1 АМS1435C (ASTMC672</w:t>
        <w:br/>
        <w:t>либо аналогичный метод) 7 Температура кристаллизации</w:t>
        <w:br/>
        <w:t>реагента, С0 ниже минус 48 - 5. Другие функциональные и</w:t>
        <w:br/>
        <w:t>качественные требования к изделию (оборудованию, работам,</w:t>
        <w:br/>
        <w:t>услугам). Поставляемый реагент должен быть расфасован в</w:t>
        <w:br/>
        <w:t>полимерной таре общейемкостью 1000 литров имеющих</w:t>
        <w:br/>
        <w:t>металлическую обрешетку. Тара возвратная.Вывоз</w:t>
        <w:br/>
        <w:t>использованной тары должен осуществляется силами и</w:t>
        <w:br/>
        <w:t>средствами поставщика по предварительному согласованию.</w:t>
        <w:br/>
        <w:t>Наличие протокола испытаний SMI Inc.и сертификата АМS1435C</w:t>
        <w:br/>
        <w:t>либо АМS1435D(c переводом на государственный и русский</w:t>
        <w:br/>
        <w:t>языки, заверенные нотариально) Дата изготовления: не ранее І</w:t>
        <w:br/>
        <w:t>квартала 2019 года. 6. Сроки и объем гарантии. Срок</w:t>
        <w:br/>
        <w:t>гарантийного хранения: не менее 60 мес 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Helvetica">
    <w:altName w:val="Arial"/>
    <w:charset w:val="01"/>
    <w:family w:val="auto"/>
    <w:pitch w:val="default"/>
  </w:font>
  <w:font w:name="Arial">
    <w:altName w:val="sans-serif"/>
    <w:charset w:val="01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oto Sans CJK SC Regular" w:cs="FreeSans"/>
      <w:color w:val="auto"/>
      <w:sz w:val="24"/>
      <w:szCs w:val="24"/>
      <w:lang w:val="ru-RU" w:eastAsia="zh-CN" w:bidi="hi-IN"/>
    </w:rPr>
  </w:style>
  <w:style w:type="character" w:styleId="Style14">
    <w:name w:val="Выделение жирным"/>
    <w:qFormat/>
    <w:rPr>
      <w:b/>
      <w:bCs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Free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LibreOffice/5.1.6.2$Linux_X86_64 LibreOffice_project/10m0$Build-2</Application>
  <Pages>1</Pages>
  <Words>332</Words>
  <Characters>2532</Characters>
  <CharactersWithSpaces>2862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2019-03-06T13:29:39Z</dcterms:created>
  <dc:creator/>
  <dc:description/>
  <dc:language>ru-RU</dc:language>
  <cp:lastModifiedBy/>
  <dcterms:modified xsi:type="dcterms:W3CDTF">2019-03-06T13:30:07Z</dcterms:modified>
  <cp:revision>1</cp:revision>
  <dc:subject/>
  <dc:title/>
</cp:coreProperties>
</file>