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«Утверждаю»</w:t>
      </w:r>
    </w:p>
    <w:p>
      <w:pPr>
        <w:pStyle w:val="Normal"/>
        <w:ind w:left="5664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>Проректор по финансово-экономическим и общим вопросам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 М.В. Ведяшкин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«____» _________________ 2018 г.</w:t>
      </w:r>
    </w:p>
    <w:p>
      <w:pPr>
        <w:pStyle w:val="Style19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Style19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ТЕХНИЧЕСКОЕ ЗАДАНИЕ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yle23"/>
        <w:ind w:hanging="0"/>
        <w:rPr/>
      </w:pPr>
      <w:r>
        <w:rPr>
          <w:rFonts w:cs="Arial" w:ascii="Arial" w:hAnsi="Arial"/>
          <w:sz w:val="24"/>
          <w:szCs w:val="24"/>
        </w:rPr>
        <w:t xml:space="preserve">1. Наименование предмета закупки: </w:t>
      </w:r>
      <w:r>
        <w:rPr>
          <w:rFonts w:cs="Arial" w:ascii="Arial" w:hAnsi="Arial"/>
          <w:b w:val="false"/>
          <w:sz w:val="24"/>
          <w:szCs w:val="24"/>
        </w:rPr>
        <w:t>поставка бакалеи для детских садов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2. Условия поставки Товара: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2.1. Товар зарубежного производства должен быть растаможен.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2.2. Поставщик в течение 2 (двух) рабочих дней со дня заключения договора направляет уведомление Заказчику с указанием адреса электронной почты и номера факса для направления Заказчиком заявки.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2.3. Поставщик осуществляет поставку Товара в течение 1 (одного) рабочего дня, следующего за днем направления заявки Заказчиком. Заявка направляется по факсу или по электронной почте.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2.4. Поставки, осуществляемые не по заявкам Заказчика, не принимаются и не оплачиваются.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360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Требования к сроку годности Товара: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3.1. Остаточный срок годности поставляемого Товара (на день поставки) должен составлять не менее 80 %.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4. Требование к безопасности Товара: 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4.1. Товар пп. 1 – 13, 15 – 19, 22 – 24, 26 – 28 п. 7 технического задания должен соответствовать требованиям Технического регламента Таможенного союза ТР ТС 021/2011 «О безопасности пищевой продукции».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4.2. Товар пп. 11 п. 7 технического задания должен соответствовать требованиям Технического регламента Евразийского экономического союза ТР ЕАЭС 040/2016 «О безопасности рыбы и рыбной продукции».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4.3. Товар пп. 14 п. 7 технического задания должен соответствовать требованиям Технического регламента Таможенного союза ТР ТС 033/2013 «О безопасности молока и молочной продукции».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4.4. Товар пп. 19 п. 7 технического задания должен соответствовать требованиям Технического регламента Таможенного союза ТР ТС 023/2011 «Технический регламент на соковую продукцию из фруктов и овощей».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4.5. Товар пп. 13, 20, 21, 25, 26 п. 7 технического задания должен соответствовать требованиям Технического регламента Таможенного союза ТР ТС 029/2012 «Требование безопасности пищевых добавок, ароматизаторов и технологических вспомогательных средств».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4.6. Товар пп. 27 п. 7 технического задания также должен соответствовать требованиям Технического регламента Таможенного союза ТР ТС 024/2011 </w:t>
      </w:r>
      <w:r>
        <w:rPr>
          <w:rFonts w:cs="Arial" w:ascii="Arial" w:hAnsi="Arial"/>
          <w:shd w:fill="FFFFFF" w:val="clear"/>
        </w:rPr>
        <w:t>«Технический регламент на масложировую продукцию».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eastAsia="Calibri" w:cs="Arial"/>
          <w:b/>
          <w:b/>
          <w:bCs/>
          <w:lang w:eastAsia="en-US"/>
        </w:rPr>
      </w:pPr>
      <w:r>
        <w:rPr>
          <w:rFonts w:eastAsia="Calibri" w:cs="Arial" w:ascii="Arial" w:hAnsi="Arial"/>
          <w:b/>
          <w:bCs/>
          <w:lang w:eastAsia="en-US"/>
        </w:rPr>
        <w:t>5. Требования к упаковке Товара:</w:t>
      </w:r>
    </w:p>
    <w:p>
      <w:pPr>
        <w:pStyle w:val="Normal"/>
        <w:jc w:val="both"/>
        <w:rPr>
          <w:rFonts w:ascii="Arial" w:hAnsi="Arial" w:eastAsia="Calibri" w:cs="Arial"/>
          <w:bCs/>
          <w:lang w:eastAsia="en-US"/>
        </w:rPr>
      </w:pPr>
      <w:r>
        <w:rPr>
          <w:rFonts w:eastAsia="Calibri" w:cs="Arial" w:ascii="Arial" w:hAnsi="Arial"/>
          <w:bCs/>
          <w:lang w:eastAsia="en-US"/>
        </w:rPr>
        <w:t xml:space="preserve">5.1. Товар должен быть в упаковке, соответствующей характеру поставляемого Товара и способу транспортировки. </w:t>
      </w:r>
    </w:p>
    <w:p>
      <w:pPr>
        <w:pStyle w:val="Normal"/>
        <w:jc w:val="both"/>
        <w:rPr>
          <w:rFonts w:ascii="Arial" w:hAnsi="Arial" w:eastAsia="Calibri" w:cs="Arial"/>
          <w:bCs/>
          <w:lang w:eastAsia="en-US"/>
        </w:rPr>
      </w:pPr>
      <w:r>
        <w:rPr>
          <w:rFonts w:eastAsia="Calibri" w:cs="Arial" w:ascii="Arial" w:hAnsi="Arial"/>
          <w:bCs/>
          <w:lang w:eastAsia="en-US"/>
        </w:rPr>
        <w:t xml:space="preserve">5.2. Упаковка должна предохранять Товар от повреждений. </w:t>
      </w:r>
    </w:p>
    <w:p>
      <w:pPr>
        <w:pStyle w:val="Normal"/>
        <w:jc w:val="both"/>
        <w:rPr>
          <w:rFonts w:ascii="Arial" w:hAnsi="Arial" w:eastAsia="Calibri" w:cs="Arial"/>
          <w:bCs/>
          <w:lang w:eastAsia="en-US"/>
        </w:rPr>
      </w:pPr>
      <w:r>
        <w:rPr>
          <w:rFonts w:eastAsia="Calibri" w:cs="Arial" w:ascii="Arial" w:hAnsi="Arial"/>
          <w:bCs/>
          <w:lang w:eastAsia="en-US"/>
        </w:rPr>
        <w:t>5.3. Упаковка Товара должна соответствовать требованиям Технического регламента Таможенного союза ТР ТС 005/2011 «О безопасности упаковки», ГОСТа, ТУ, СанПиН, импортный Товар – международным стандартам.</w:t>
      </w:r>
    </w:p>
    <w:p>
      <w:pPr>
        <w:pStyle w:val="Normal"/>
        <w:jc w:val="both"/>
        <w:rPr>
          <w:rFonts w:ascii="Arial" w:hAnsi="Arial" w:eastAsia="Calibri" w:cs="Arial"/>
          <w:bCs/>
          <w:lang w:eastAsia="en-US"/>
        </w:rPr>
      </w:pPr>
      <w:r>
        <w:rPr>
          <w:rFonts w:eastAsia="Calibri" w:cs="Arial" w:ascii="Arial" w:hAnsi="Arial"/>
          <w:bCs/>
          <w:lang w:eastAsia="en-US"/>
        </w:rPr>
      </w:r>
    </w:p>
    <w:p>
      <w:pPr>
        <w:pStyle w:val="Normal"/>
        <w:jc w:val="both"/>
        <w:rPr>
          <w:rFonts w:ascii="Arial" w:hAnsi="Arial" w:eastAsia="Calibri" w:cs="Arial"/>
          <w:b/>
          <w:b/>
          <w:bCs/>
          <w:lang w:eastAsia="en-US"/>
        </w:rPr>
      </w:pPr>
      <w:r>
        <w:rPr>
          <w:rFonts w:eastAsia="Calibri" w:cs="Arial" w:ascii="Arial" w:hAnsi="Arial"/>
          <w:b/>
          <w:bCs/>
          <w:lang w:eastAsia="en-US"/>
        </w:rPr>
        <w:t>6. Требования к маркировке Товара:</w:t>
      </w:r>
    </w:p>
    <w:p>
      <w:pPr>
        <w:pStyle w:val="Normal"/>
        <w:jc w:val="both"/>
        <w:rPr>
          <w:rFonts w:ascii="Arial" w:hAnsi="Arial" w:eastAsia="Calibri" w:cs="Arial"/>
          <w:bCs/>
          <w:lang w:eastAsia="en-US"/>
        </w:rPr>
      </w:pPr>
      <w:r>
        <w:rPr>
          <w:rFonts w:eastAsia="Calibri" w:cs="Arial" w:ascii="Arial" w:hAnsi="Arial"/>
          <w:bCs/>
          <w:lang w:eastAsia="en-US"/>
        </w:rPr>
        <w:t>6.1. Маркировка Товара должна соответствовать требованиям Технического регламента Таможенного союза ТР ТС 022/2011 «Пищевая продукция в части ее маркировки», ГОСТа, импортный Товар – международным стандартам.</w:t>
      </w:r>
    </w:p>
    <w:p>
      <w:pPr>
        <w:pStyle w:val="Normal"/>
        <w:jc w:val="both"/>
        <w:rPr>
          <w:rFonts w:ascii="Arial" w:hAnsi="Arial" w:eastAsia="Calibri" w:cs="Arial"/>
          <w:bCs/>
          <w:lang w:eastAsia="en-US"/>
        </w:rPr>
      </w:pPr>
      <w:r>
        <w:rPr>
          <w:rFonts w:eastAsia="Calibri" w:cs="Arial" w:ascii="Arial" w:hAnsi="Arial"/>
          <w:bCs/>
          <w:lang w:eastAsia="en-US"/>
        </w:rPr>
        <w:t>6.2. Маркировка на упаковке должна быть на русском языке.</w:t>
      </w:r>
    </w:p>
    <w:p>
      <w:pPr>
        <w:pStyle w:val="Normal"/>
        <w:jc w:val="both"/>
        <w:rPr>
          <w:rFonts w:ascii="Arial" w:hAnsi="Arial" w:eastAsia="Calibri" w:cs="Arial"/>
          <w:bCs/>
          <w:lang w:eastAsia="en-US"/>
        </w:rPr>
      </w:pPr>
      <w:r>
        <w:rPr>
          <w:rFonts w:eastAsia="Calibri" w:cs="Arial" w:ascii="Arial" w:hAnsi="Arial"/>
          <w:bCs/>
          <w:lang w:eastAsia="en-US"/>
        </w:rPr>
        <w:t>6.3. Маркировка должна содержать сведения о Товаре: его наименование, параметры, дату производства, номер партии, срок годности, сведения о производителе Товара, а также иные обозначения в соответствии с действующими международными стандартами и требованиями ГОСТ.</w:t>
      </w:r>
    </w:p>
    <w:p>
      <w:pPr>
        <w:pStyle w:val="Normal"/>
        <w:jc w:val="both"/>
        <w:rPr>
          <w:rFonts w:ascii="Arial" w:hAnsi="Arial" w:eastAsia="Calibri" w:cs="Arial"/>
          <w:b/>
          <w:b/>
          <w:bCs/>
          <w:lang w:eastAsia="en-US"/>
        </w:rPr>
      </w:pPr>
      <w:r>
        <w:rPr>
          <w:rFonts w:eastAsia="Calibri" w:cs="Arial" w:ascii="Arial" w:hAnsi="Arial"/>
          <w:b/>
          <w:bCs/>
          <w:lang w:eastAsia="en-US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</w:rPr>
        <w:t>7. Наименование и показатели поставляемого Товара:</w:t>
      </w:r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21"/>
        <w:gridCol w:w="2886"/>
        <w:gridCol w:w="5302"/>
        <w:gridCol w:w="1111"/>
        <w:gridCol w:w="1673"/>
        <w:gridCol w:w="1672"/>
        <w:gridCol w:w="1"/>
        <w:gridCol w:w="2131"/>
      </w:tblGrid>
      <w:tr>
        <w:trPr>
          <w:trHeight w:val="364" w:hRule="atLeast"/>
        </w:trPr>
        <w:tc>
          <w:tcPr>
            <w:tcW w:w="6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№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пп.</w:t>
            </w:r>
          </w:p>
        </w:tc>
        <w:tc>
          <w:tcPr>
            <w:tcW w:w="28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right="-109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Наименование</w:t>
            </w:r>
          </w:p>
        </w:tc>
        <w:tc>
          <w:tcPr>
            <w:tcW w:w="97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Показатели Товара</w:t>
            </w:r>
          </w:p>
        </w:tc>
        <w:tc>
          <w:tcPr>
            <w:tcW w:w="2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53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Начальная (максимальная) цена единицы Товара, включая НДС, руб</w:t>
            </w:r>
          </w:p>
        </w:tc>
      </w:tr>
      <w:tr>
        <w:trPr>
          <w:trHeight w:val="426" w:hRule="atLeast"/>
        </w:trPr>
        <w:tc>
          <w:tcPr>
            <w:tcW w:w="6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8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right="-109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3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Характеристики</w:t>
            </w:r>
          </w:p>
        </w:tc>
        <w:tc>
          <w:tcPr>
            <w:tcW w:w="1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Ед. изм.</w:t>
            </w:r>
          </w:p>
        </w:tc>
        <w:tc>
          <w:tcPr>
            <w:tcW w:w="33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Место поставки, кол-во</w:t>
            </w:r>
          </w:p>
        </w:tc>
        <w:tc>
          <w:tcPr>
            <w:tcW w:w="2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8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3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</w:rPr>
              <w:t>г. Томск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</w:rPr>
              <w:t>г. Томск</w:t>
            </w:r>
          </w:p>
        </w:tc>
        <w:tc>
          <w:tcPr>
            <w:tcW w:w="213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Чай черный «Принцесса Нури Высокогорный» </w:t>
            </w:r>
            <w:r>
              <w:rPr>
                <w:rFonts w:cs="Arial" w:ascii="Arial" w:hAnsi="Arial"/>
                <w:bCs/>
                <w:color w:val="000000"/>
              </w:rPr>
              <w:t>или эквивалент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Листовой.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потребительская упаковка, масса нетто не менее 100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198,00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Напиток кофейный растворимый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 xml:space="preserve">Без кофеина. 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Состав: ячмень.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потребительская упаковка, масса нетто не менее 100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14,4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275,00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Горошек зеленый товарный 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Консервы натуральные.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Товарный сорт: высший.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ГОСТ Р 54050-2010.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Фасовка: металлическая банка, объем*: 400 ÷ 425 мл.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шт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96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24,00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Кукуруза сахарная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Консервы натуральные.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 зернах.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Сорт: высший.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ГОСТ Р 53958-2010.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Фасовка: металлическая банка, объем*: 400 ÷ 425 мл.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шт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33,00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Огурцы консервированные с зеленью в заливке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Овощи целые, однородные по размеру и конфигурации.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Фасовка: стеклянная банка, объем*: 720 ÷ 750 мл.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шт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108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48,00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Томатная паста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Однородная концентрированная масса, без тёмных включений, остатков кожицы, семян и грубых частиц плодов.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Массовая доля сухих растворимых веществ не менее** 25 %.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Категория: экстра.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54678-2011.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Фасовка: </w:t>
            </w:r>
            <w:r>
              <w:rPr>
                <w:rFonts w:cs="Arial" w:ascii="Arial" w:hAnsi="Arial"/>
                <w:bCs/>
                <w:color w:val="000000"/>
              </w:rPr>
              <w:t xml:space="preserve">потребительская упаковка, масса* нетто: </w:t>
            </w:r>
            <w:r>
              <w:rPr>
                <w:rFonts w:cs="Arial" w:ascii="Arial" w:hAnsi="Arial"/>
              </w:rPr>
              <w:t>850 ÷ 1000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47,00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1406" w:leader="none"/>
              </w:tabs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Дрожжи хлебопекарные сушеные 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Гранулированные.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потребительская упаковка, масса* нетто: 11 ÷ 20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упак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320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150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11,00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Зелень укропа сушеная 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Нарезанная.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потребительская упаковка, масса* нетто: 7 ÷ 10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упак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120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7,00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Зелень петрушки сушеная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Нарезанная.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потребительская упаковка, масса* нетто: 7 ÷ 10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упак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120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6,30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Сироп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На растительном сырье.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Прозрачный.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Без применения консервантов.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В ассортименте. 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ГОСТ 28499-2014.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потребительская упаковка, объем не менее 250 мл.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257,00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Сайра тихоокеанская натуральная с добавлением масла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Рыбные консервы.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ГОСТ 13865-2000.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металлическая банка, масса* нетто: 250 ÷ 280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шт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96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44,00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Томаты в заливке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Состав: помидоры, вода, томатный сок, сахар, соль, чеснок, регулятор кислотности.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стеклянная банка, объем*: 720 ÷ 750 мл.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шт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96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54,00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Крахмал картофельный 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Сорт высший.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Р 53876-2010.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Фасовка: потребительская упаковка, масса нетто не менее 150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79,00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Молоко сгущенное с сахаром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Цельное.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Массовая доля жира не менее** 8,5</w:t>
            </w:r>
            <w:r>
              <w:rPr>
                <w:rFonts w:cs="Arial" w:ascii="Arial" w:hAnsi="Arial"/>
                <w:bCs/>
                <w:color w:val="000000"/>
                <w:lang w:val="en-US"/>
              </w:rPr>
              <w:t> </w:t>
            </w:r>
            <w:r>
              <w:rPr>
                <w:rFonts w:cs="Arial" w:ascii="Arial" w:hAnsi="Arial"/>
                <w:bCs/>
                <w:color w:val="000000"/>
              </w:rPr>
              <w:t>%.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ГОСТ 31688-2012.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металлическая банка, масса нетто не менее</w:t>
            </w:r>
            <w:r>
              <w:rPr>
                <w:rFonts w:cs="Arial" w:ascii="Arial" w:hAnsi="Arial"/>
                <w:bCs/>
              </w:rPr>
              <w:t xml:space="preserve"> 360</w:t>
            </w:r>
            <w:r>
              <w:rPr>
                <w:rFonts w:cs="Arial" w:ascii="Arial" w:hAnsi="Arial"/>
                <w:bCs/>
                <w:color w:val="000000"/>
              </w:rPr>
              <w:t xml:space="preserve">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47,52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22,8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104,00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Какао-порошок 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Массовая доля влаги не более** 7,5</w:t>
            </w:r>
            <w:r>
              <w:rPr>
                <w:rFonts w:cs="Arial" w:ascii="Arial" w:hAnsi="Arial"/>
                <w:bCs/>
                <w:lang w:val="en-US"/>
              </w:rPr>
              <w:t> </w:t>
            </w:r>
            <w:r>
              <w:rPr>
                <w:rFonts w:cs="Arial" w:ascii="Arial" w:hAnsi="Arial"/>
                <w:bCs/>
              </w:rPr>
              <w:t>%.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Массовая доля жира (масла какао) не менее** 12 %. </w:t>
            </w:r>
          </w:p>
          <w:p>
            <w:pPr>
              <w:pStyle w:val="Normal"/>
              <w:tabs>
                <w:tab w:val="left" w:pos="2550" w:leader="none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ГОСТ 108-2014.</w:t>
            </w:r>
          </w:p>
          <w:p>
            <w:pPr>
              <w:pStyle w:val="Normal"/>
              <w:tabs>
                <w:tab w:val="left" w:pos="2550" w:leader="none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 xml:space="preserve">Фасовка: </w:t>
            </w:r>
            <w:r>
              <w:rPr>
                <w:rFonts w:cs="Arial" w:ascii="Arial" w:hAnsi="Arial"/>
                <w:bCs/>
              </w:rPr>
              <w:t>потребительская упаковка, масса нетто не менее 100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193,00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Повидло 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Стерилизованное.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cs="Arial" w:ascii="Arial" w:hAnsi="Arial"/>
                <w:color w:val="000000"/>
                <w:shd w:fill="FFFFFF" w:val="clear"/>
              </w:rPr>
              <w:t>Из одного вида фруктового пюре.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Яблочное.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 xml:space="preserve">Фасовка: потребительская упаковка, масса нетто не более </w:t>
            </w:r>
            <w:r>
              <w:rPr>
                <w:rFonts w:cs="Arial" w:ascii="Arial" w:hAnsi="Arial"/>
              </w:rPr>
              <w:t>1 кг.</w:t>
            </w:r>
            <w:r>
              <w:rPr>
                <w:rFonts w:cs="Arial" w:ascii="Arial" w:hAnsi="Arial"/>
                <w:bCs/>
                <w:color w:val="00000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59,00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Джем 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Стерилизованный.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Фруктовый.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В ассортименте: вишневый, брусничный, абрикосовый.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 xml:space="preserve">ГОСТ Р 31712-2012. 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потребительская упаковка, масса нетто не более</w:t>
            </w:r>
            <w:r>
              <w:rPr>
                <w:rFonts w:cs="Arial" w:ascii="Arial" w:hAnsi="Arial"/>
              </w:rPr>
              <w:t xml:space="preserve"> 1 кг.</w:t>
            </w:r>
            <w:r>
              <w:rPr>
                <w:rFonts w:cs="Arial" w:ascii="Arial" w:hAnsi="Arial"/>
                <w:bCs/>
                <w:color w:val="FF000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79,00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Варенье 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Стерилизованное.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Фруктовое.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 ассортименте: брусничное, черносмородиновое, малиновое.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Р 53118-2008.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Фасовка: стеклянная банка, масса нетто не менее 300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7,5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250,60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>Сок фруктовый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Консервы.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Стерилизованный.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Из двух и более фруктовых соков.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Восстановленный.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Осветленный.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В ассортименте.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ГОСТ 32103-2013.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bCs/>
                <w:color w:val="000000"/>
              </w:rPr>
              <w:t>потребительская упаковка, объем</w:t>
            </w:r>
            <w:r>
              <w:rPr>
                <w:rFonts w:cs="Arial" w:ascii="Arial" w:hAnsi="Arial"/>
                <w:bCs/>
              </w:rPr>
              <w:t xml:space="preserve"> не более</w:t>
            </w:r>
            <w:r>
              <w:rPr>
                <w:rFonts w:cs="Arial" w:ascii="Arial" w:hAnsi="Arial"/>
              </w:rPr>
              <w:t xml:space="preserve"> 2 л.</w:t>
            </w:r>
            <w:r>
              <w:rPr>
                <w:rFonts w:cs="Arial" w:ascii="Arial" w:hAnsi="Arial"/>
                <w:bCs/>
                <w:color w:val="FF000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320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25,50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Разрыхлитель </w:t>
            </w:r>
            <w:r>
              <w:rPr>
                <w:rFonts w:cs="Arial" w:ascii="Arial" w:hAnsi="Arial"/>
                <w:bCs/>
                <w:color w:val="000000"/>
              </w:rPr>
              <w:t>для теста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Фасовка: потребительская упаковка, масса* нетто: 15 ÷ 20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упак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5,50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Ванилин 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Кристаллический порошок.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Цвет: от белого до светло-желтого.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ГОСТ 16599-71.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потребительская упаковка, масса* нетто: 1 ÷ 1,5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упак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2,76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Мак пищевой 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Тип I.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ГОСТ 52533-2006.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потребительская упаковка, масса* нетто: 50 ÷ 55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упак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20,00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color w:val="000000"/>
              </w:rPr>
              <w:t>Лист лавровый сухой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Сухой лавровый лист.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бумажный пакет, масса* нетто: 10 ÷ 15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упак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8,50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Сахар белый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Свекловичный.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Сахарная пудра.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Категория: ТС1.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cs="Arial" w:ascii="Arial" w:hAnsi="Arial"/>
                <w:color w:val="000000"/>
                <w:shd w:fill="FFFFFF" w:val="clear"/>
              </w:rPr>
              <w:t>ГОСТ 33222-2015.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пакет, масса* нетто: 140 ÷ 150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упак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18,00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color w:val="000000"/>
              </w:rPr>
              <w:t>Лимонная кислота моногидрат пищевая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908-2004.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Фасовка: пакет из полимерных и комбинированных материалов, масса* нетто: 50 ÷ 55 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упак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20,00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Соль поваренная пищевая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Сорт: экстра.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Выварочная.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Йодированная.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Р 51574-2018.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Фасовка: полиэтиленовый мешок, масса нетто не менее 1 кг.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70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11,00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Масло подсолнечное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Рафинированное дезодорированное.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Сорт: первый.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ГОСТ 1129-2013.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Фасовка: бутылка из полимерных материалов, объем не менее 1 л.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90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50,00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1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color w:val="000000"/>
              </w:rPr>
              <w:t>Компот консервированный</w:t>
            </w:r>
          </w:p>
        </w:tc>
        <w:tc>
          <w:tcPr>
            <w:tcW w:w="5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Однокомпонентный.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Ананасовый.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Состав: ананас, вода, сахар.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Фасовка: металлическая банка, объем*: 850 ÷ 900 мл.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шт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72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95,88</w:t>
            </w:r>
          </w:p>
        </w:tc>
      </w:tr>
    </w:tbl>
    <w:p>
      <w:pPr>
        <w:pStyle w:val="Normal"/>
        <w:shd w:val="clear" w:color="auto" w:fill="FFFFFF"/>
        <w:jc w:val="both"/>
        <w:rPr>
          <w:rFonts w:ascii="Arial" w:hAnsi="Arial" w:cs="Arial"/>
        </w:rPr>
      </w:pPr>
      <w:r>
        <w:rPr>
          <w:rFonts w:cs="Arial" w:ascii="Arial" w:hAnsi="Arial"/>
        </w:rPr>
        <w:t>* Данный показатель предполагает точное значение.</w:t>
      </w:r>
    </w:p>
    <w:p>
      <w:pPr>
        <w:pStyle w:val="Normal"/>
        <w:shd w:val="clear" w:color="auto" w:fill="FFFFFF"/>
        <w:jc w:val="both"/>
        <w:rPr>
          <w:rFonts w:ascii="Arial" w:hAnsi="Arial" w:cs="Arial"/>
        </w:rPr>
      </w:pPr>
      <w:r>
        <w:rPr>
          <w:rFonts w:cs="Arial" w:ascii="Arial" w:hAnsi="Arial"/>
        </w:rPr>
        <w:t>** Согласно документации производителя допустимо неточное значение показателя.</w:t>
      </w:r>
    </w:p>
    <w:p>
      <w:pPr>
        <w:pStyle w:val="Normal"/>
        <w:shd w:val="clear" w:color="auto" w:fill="FFFFFF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  <w:t>8. Условия для включения в договор:</w:t>
      </w:r>
    </w:p>
    <w:p>
      <w:pPr>
        <w:pStyle w:val="Normal"/>
        <w:shd w:val="clear" w:color="auto" w:fill="FFFFFF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8.1.Закупка осуществляется у субъектов малого и среднего предпринимательства.</w:t>
      </w:r>
    </w:p>
    <w:p>
      <w:pPr>
        <w:pStyle w:val="Normal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8.2. Порядок формирования цены договора: с учетом расходов на упаковку, перевозку, погрузку, разгрузку, подъем на этаж, страхование, уплату таможенных пошлин, налогов, сборов и других обязательных платежей.</w:t>
      </w:r>
    </w:p>
    <w:p>
      <w:pPr>
        <w:pStyle w:val="Style23"/>
        <w:spacing w:before="0" w:after="0"/>
        <w:ind w:hanging="0"/>
        <w:rPr>
          <w:rFonts w:ascii="Arial" w:hAnsi="Arial" w:cs="Arial"/>
          <w:b w:val="false"/>
          <w:b w:val="false"/>
          <w:color w:val="FF0000"/>
          <w:sz w:val="24"/>
          <w:szCs w:val="24"/>
        </w:rPr>
      </w:pPr>
      <w:r>
        <w:rPr>
          <w:rFonts w:cs="Arial" w:ascii="Arial" w:hAnsi="Arial"/>
          <w:b w:val="false"/>
          <w:color w:val="FF0000"/>
          <w:sz w:val="24"/>
          <w:szCs w:val="24"/>
        </w:rPr>
        <w:t xml:space="preserve">8.3. Место поставки Товара: </w:t>
      </w:r>
    </w:p>
    <w:p>
      <w:pPr>
        <w:pStyle w:val="Style23"/>
        <w:spacing w:before="0" w:after="0"/>
        <w:ind w:hanging="0"/>
        <w:rPr/>
      </w:pPr>
      <w:r>
        <w:rPr>
          <w:rFonts w:cs="Arial" w:ascii="Arial" w:hAnsi="Arial"/>
          <w:b w:val="false"/>
          <w:color w:val="FF0000"/>
          <w:sz w:val="24"/>
          <w:szCs w:val="24"/>
        </w:rPr>
        <w:t>- г. Томск</w:t>
      </w:r>
    </w:p>
    <w:p>
      <w:pPr>
        <w:pStyle w:val="Style23"/>
        <w:spacing w:before="0" w:after="0"/>
        <w:ind w:hanging="0"/>
        <w:rPr/>
      </w:pPr>
      <w:r>
        <w:rPr>
          <w:rFonts w:cs="Arial" w:ascii="Arial" w:hAnsi="Arial"/>
          <w:b w:val="false"/>
          <w:color w:val="FF0000"/>
          <w:sz w:val="24"/>
          <w:szCs w:val="24"/>
        </w:rPr>
        <w:t>- г. Томск</w:t>
      </w:r>
    </w:p>
    <w:p>
      <w:pPr>
        <w:pStyle w:val="Normal"/>
        <w:jc w:val="both"/>
        <w:rPr>
          <w:rFonts w:ascii="Arial" w:hAnsi="Arial" w:cs="Arial"/>
          <w:bCs/>
          <w:color w:val="FF0000"/>
        </w:rPr>
      </w:pPr>
      <w:r>
        <w:rPr>
          <w:rFonts w:cs="Arial" w:ascii="Arial" w:hAnsi="Arial"/>
          <w:bCs/>
          <w:color w:val="FF0000"/>
        </w:rPr>
        <w:t xml:space="preserve">8.4. Сроки (периоды) поставки Товара: со дня заключения договора до 30.06.2019 г. </w:t>
      </w:r>
    </w:p>
    <w:p>
      <w:pPr>
        <w:pStyle w:val="Normal"/>
        <w:shd w:val="clear" w:color="auto" w:fill="FFFFFF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bCs/>
          <w:color w:val="FF0000"/>
        </w:rPr>
        <w:t>8.5. Форма, сроки и порядок оплаты Товара:</w:t>
      </w:r>
      <w:r>
        <w:rPr>
          <w:rFonts w:cs="Arial" w:ascii="Arial" w:hAnsi="Arial"/>
          <w:b/>
          <w:bCs/>
          <w:color w:val="FF0000"/>
        </w:rPr>
        <w:t xml:space="preserve"> </w:t>
      </w:r>
      <w:r>
        <w:rPr>
          <w:rFonts w:cs="Arial" w:ascii="Arial" w:hAnsi="Arial"/>
          <w:color w:val="FF0000"/>
        </w:rPr>
        <w:t>оплата производится на основании счета (счета-фактуры), выставленного Поставщиком, после подписания Заказчиком товарных накладных, подтверждающих получение партии Товара, в течение 30 (тридцати) календарных дней.</w:t>
      </w:r>
    </w:p>
    <w:p>
      <w:pPr>
        <w:pStyle w:val="Normal"/>
        <w:shd w:val="clear" w:color="auto" w:fill="FFFFFF"/>
        <w:jc w:val="both"/>
        <w:rPr>
          <w:rFonts w:ascii="Arial" w:hAnsi="Arial" w:cs="Arial"/>
          <w:color w:val="FF0000"/>
          <w:lang w:val="en-US"/>
        </w:rPr>
      </w:pPr>
      <w:bookmarkStart w:id="0" w:name="_GoBack"/>
      <w:bookmarkEnd w:id="0"/>
      <w:r>
        <w:rPr>
          <w:rFonts w:cs="Arial" w:ascii="Arial" w:hAnsi="Arial"/>
          <w:color w:val="FF0000"/>
        </w:rPr>
        <w:t>8.6. Поставщик осуществляет поставку Товара в течение 1 (одного) рабочего дня, следующего за днем направления заявки Заказчиком. Заявка направляется по факсу или по электронной почте.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3aa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rsid w:val="00633aa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633aa3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6" w:customStyle="1">
    <w:name w:val="Текст Знак"/>
    <w:basedOn w:val="DefaultParagraphFont"/>
    <w:link w:val="a8"/>
    <w:uiPriority w:val="99"/>
    <w:semiHidden/>
    <w:qFormat/>
    <w:rsid w:val="00e748de"/>
    <w:rPr>
      <w:rFonts w:ascii="Calibri" w:hAnsi="Calibri" w:eastAsia="Calibri" w:cs="Times New Roman"/>
      <w:szCs w:val="21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f20f40"/>
    <w:rPr>
      <w:rFonts w:ascii="Tahoma" w:hAnsi="Tahoma" w:eastAsia="Times New Roman" w:cs="Tahoma"/>
      <w:sz w:val="16"/>
      <w:szCs w:val="16"/>
      <w:lang w:eastAsia="ru-RU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4"/>
    <w:uiPriority w:val="99"/>
    <w:rsid w:val="00633aa3"/>
    <w:pPr>
      <w:jc w:val="center"/>
    </w:pPr>
    <w:rPr>
      <w:sz w:val="20"/>
      <w:szCs w:val="20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Body Text Indent"/>
    <w:basedOn w:val="Normal"/>
    <w:link w:val="a6"/>
    <w:rsid w:val="00633aa3"/>
    <w:pPr>
      <w:spacing w:before="0" w:after="60"/>
      <w:ind w:firstLine="540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33aa3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PlainText">
    <w:name w:val="Plain Text"/>
    <w:basedOn w:val="Normal"/>
    <w:link w:val="a9"/>
    <w:uiPriority w:val="99"/>
    <w:semiHidden/>
    <w:unhideWhenUsed/>
    <w:qFormat/>
    <w:rsid w:val="00e748de"/>
    <w:pPr/>
    <w:rPr>
      <w:rFonts w:ascii="Calibri" w:hAnsi="Calibri" w:eastAsia="Calibri"/>
      <w:sz w:val="22"/>
      <w:szCs w:val="21"/>
      <w:lang w:eastAsia="en-US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f20f4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6</Pages>
  <Words>1259</Words>
  <Characters>7574</Characters>
  <CharactersWithSpaces>8553</CharactersWithSpaces>
  <Paragraphs>319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2018-11-29T10:08:00Z</dcterms:created>
  <dc:creator>User</dc:creator>
  <dc:description/>
  <dc:language>ru-RU</dc:language>
  <cp:lastModifiedBy/>
  <cp:lastPrinted>2018-11-21T04:55:00Z</cp:lastPrinted>
  <dcterms:modified xsi:type="dcterms:W3CDTF">2019-05-14T15:14:19Z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