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430" w:rsidRDefault="00254430" w:rsidP="00254430">
      <w:pPr>
        <w:suppressAutoHyphens/>
        <w:jc w:val="center"/>
        <w:rPr>
          <w:b/>
          <w:bCs/>
          <w:sz w:val="28"/>
          <w:szCs w:val="28"/>
          <w:lang w:eastAsia="zh-CN"/>
        </w:rPr>
      </w:pPr>
      <w:r>
        <w:rPr>
          <w:b/>
          <w:bCs/>
          <w:sz w:val="28"/>
          <w:szCs w:val="28"/>
          <w:lang w:eastAsia="zh-CN"/>
        </w:rPr>
        <w:t>ТЕХНИ</w:t>
      </w:r>
      <w:r>
        <w:rPr>
          <w:b/>
          <w:sz w:val="28"/>
          <w:szCs w:val="28"/>
        </w:rPr>
        <w:t>ЧЕСКОЕ</w:t>
      </w:r>
      <w:r>
        <w:rPr>
          <w:b/>
          <w:bCs/>
          <w:sz w:val="28"/>
          <w:szCs w:val="28"/>
          <w:lang w:eastAsia="zh-CN"/>
        </w:rPr>
        <w:t xml:space="preserve"> ЗАДАНИЕ</w:t>
      </w:r>
    </w:p>
    <w:p w:rsidR="00254430" w:rsidRDefault="00254430" w:rsidP="00254430">
      <w:pPr>
        <w:suppressAutoHyphens/>
        <w:jc w:val="center"/>
        <w:rPr>
          <w:b/>
          <w:bCs/>
          <w:sz w:val="28"/>
          <w:szCs w:val="28"/>
          <w:lang w:eastAsia="zh-CN"/>
        </w:rPr>
      </w:pPr>
      <w:r>
        <w:rPr>
          <w:b/>
          <w:bCs/>
          <w:sz w:val="28"/>
          <w:szCs w:val="28"/>
          <w:lang w:eastAsia="zh-CN"/>
        </w:rPr>
        <w:t>На поставку резиновой плитки</w:t>
      </w:r>
    </w:p>
    <w:p w:rsidR="00254430" w:rsidRDefault="00254430" w:rsidP="00254430">
      <w:pPr>
        <w:ind w:left="7788"/>
        <w:jc w:val="both"/>
        <w:rPr>
          <w:b/>
          <w:sz w:val="36"/>
          <w:szCs w:val="36"/>
        </w:rPr>
      </w:pPr>
    </w:p>
    <w:tbl>
      <w:tblPr>
        <w:tblW w:w="1023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426"/>
        <w:gridCol w:w="1701"/>
        <w:gridCol w:w="6378"/>
        <w:gridCol w:w="1003"/>
        <w:gridCol w:w="710"/>
      </w:tblGrid>
      <w:tr w:rsidR="00254430" w:rsidTr="00254430">
        <w:trPr>
          <w:gridBefore w:val="1"/>
          <w:wBefore w:w="12" w:type="dxa"/>
          <w:trHeight w:val="1258"/>
        </w:trPr>
        <w:tc>
          <w:tcPr>
            <w:tcW w:w="426" w:type="dxa"/>
            <w:tcBorders>
              <w:top w:val="single" w:sz="4" w:space="0" w:color="auto"/>
              <w:left w:val="single" w:sz="4" w:space="0" w:color="auto"/>
              <w:bottom w:val="single" w:sz="4" w:space="0" w:color="auto"/>
              <w:right w:val="single" w:sz="4" w:space="0" w:color="auto"/>
            </w:tcBorders>
            <w:vAlign w:val="center"/>
            <w:hideMark/>
          </w:tcPr>
          <w:p w:rsidR="00254430" w:rsidRDefault="00254430">
            <w:pPr>
              <w:spacing w:line="276" w:lineRule="auto"/>
              <w:jc w:val="both"/>
              <w:rPr>
                <w:b/>
                <w:bCs/>
                <w:lang w:eastAsia="en-US"/>
              </w:rPr>
            </w:pPr>
            <w:r>
              <w:rPr>
                <w:b/>
                <w:bCs/>
                <w:lang w:eastAsia="en-US"/>
              </w:rPr>
              <w:t>№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254430" w:rsidRDefault="00254430">
            <w:pPr>
              <w:spacing w:line="276" w:lineRule="auto"/>
              <w:jc w:val="both"/>
              <w:rPr>
                <w:b/>
                <w:bCs/>
                <w:lang w:eastAsia="en-US"/>
              </w:rPr>
            </w:pPr>
            <w:r>
              <w:rPr>
                <w:b/>
                <w:bCs/>
                <w:lang w:eastAsia="en-US"/>
              </w:rPr>
              <w:t>Наименование товара</w:t>
            </w:r>
          </w:p>
        </w:tc>
        <w:tc>
          <w:tcPr>
            <w:tcW w:w="6378" w:type="dxa"/>
            <w:tcBorders>
              <w:top w:val="single" w:sz="4" w:space="0" w:color="auto"/>
              <w:left w:val="single" w:sz="4" w:space="0" w:color="auto"/>
              <w:bottom w:val="single" w:sz="4" w:space="0" w:color="auto"/>
              <w:right w:val="single" w:sz="4" w:space="0" w:color="auto"/>
            </w:tcBorders>
            <w:vAlign w:val="center"/>
            <w:hideMark/>
          </w:tcPr>
          <w:p w:rsidR="00254430" w:rsidRDefault="00254430">
            <w:pPr>
              <w:snapToGrid w:val="0"/>
              <w:spacing w:line="276" w:lineRule="auto"/>
              <w:jc w:val="both"/>
              <w:rPr>
                <w:b/>
                <w:bCs/>
                <w:lang w:eastAsia="en-US"/>
              </w:rPr>
            </w:pPr>
            <w:r>
              <w:rPr>
                <w:b/>
                <w:lang w:eastAsia="en-US"/>
              </w:rPr>
              <w:t>Функциональные, технические и качественные характеристики, эксплуатационные характеристики товара</w:t>
            </w:r>
          </w:p>
        </w:tc>
        <w:tc>
          <w:tcPr>
            <w:tcW w:w="1003" w:type="dxa"/>
            <w:tcBorders>
              <w:top w:val="single" w:sz="4" w:space="0" w:color="auto"/>
              <w:left w:val="single" w:sz="4" w:space="0" w:color="auto"/>
              <w:bottom w:val="single" w:sz="4" w:space="0" w:color="auto"/>
              <w:right w:val="single" w:sz="4" w:space="0" w:color="auto"/>
            </w:tcBorders>
            <w:vAlign w:val="center"/>
            <w:hideMark/>
          </w:tcPr>
          <w:p w:rsidR="00254430" w:rsidRDefault="00254430">
            <w:pPr>
              <w:snapToGrid w:val="0"/>
              <w:spacing w:line="276" w:lineRule="auto"/>
              <w:jc w:val="both"/>
              <w:rPr>
                <w:b/>
                <w:bCs/>
                <w:lang w:eastAsia="en-US"/>
              </w:rPr>
            </w:pPr>
            <w:r>
              <w:rPr>
                <w:b/>
                <w:bCs/>
                <w:lang w:eastAsia="en-US"/>
              </w:rPr>
              <w:t>Единица измерения</w:t>
            </w:r>
          </w:p>
        </w:tc>
        <w:tc>
          <w:tcPr>
            <w:tcW w:w="710" w:type="dxa"/>
            <w:tcBorders>
              <w:top w:val="single" w:sz="4" w:space="0" w:color="auto"/>
              <w:left w:val="single" w:sz="4" w:space="0" w:color="auto"/>
              <w:bottom w:val="single" w:sz="4" w:space="0" w:color="auto"/>
              <w:right w:val="single" w:sz="4" w:space="0" w:color="auto"/>
            </w:tcBorders>
            <w:vAlign w:val="center"/>
            <w:hideMark/>
          </w:tcPr>
          <w:p w:rsidR="00254430" w:rsidRDefault="00254430">
            <w:pPr>
              <w:snapToGrid w:val="0"/>
              <w:spacing w:line="276" w:lineRule="auto"/>
              <w:jc w:val="both"/>
              <w:rPr>
                <w:b/>
                <w:bCs/>
                <w:lang w:eastAsia="en-US"/>
              </w:rPr>
            </w:pPr>
            <w:r>
              <w:rPr>
                <w:b/>
                <w:bCs/>
                <w:lang w:eastAsia="en-US"/>
              </w:rPr>
              <w:t>Количество</w:t>
            </w:r>
          </w:p>
        </w:tc>
      </w:tr>
      <w:tr w:rsidR="00254430" w:rsidTr="00254430">
        <w:trPr>
          <w:trHeight w:val="58"/>
        </w:trPr>
        <w:tc>
          <w:tcPr>
            <w:tcW w:w="438" w:type="dxa"/>
            <w:gridSpan w:val="2"/>
            <w:tcBorders>
              <w:top w:val="single" w:sz="4" w:space="0" w:color="auto"/>
              <w:left w:val="single" w:sz="4" w:space="0" w:color="auto"/>
              <w:bottom w:val="single" w:sz="4" w:space="0" w:color="auto"/>
              <w:right w:val="single" w:sz="4" w:space="0" w:color="auto"/>
            </w:tcBorders>
            <w:vAlign w:val="center"/>
            <w:hideMark/>
          </w:tcPr>
          <w:p w:rsidR="00254430" w:rsidRDefault="00254430">
            <w:pPr>
              <w:spacing w:line="276" w:lineRule="auto"/>
              <w:jc w:val="both"/>
              <w:rPr>
                <w:lang w:eastAsia="en-US"/>
              </w:rPr>
            </w:pPr>
            <w:r>
              <w:rPr>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54430" w:rsidRDefault="00254430">
            <w:pPr>
              <w:spacing w:line="276" w:lineRule="auto"/>
              <w:jc w:val="both"/>
              <w:rPr>
                <w:lang w:eastAsia="en-US"/>
              </w:rPr>
            </w:pPr>
            <w:proofErr w:type="spellStart"/>
            <w:r>
              <w:rPr>
                <w:lang w:eastAsia="en-US"/>
              </w:rPr>
              <w:t>Травмобезопасная</w:t>
            </w:r>
            <w:proofErr w:type="spellEnd"/>
            <w:r>
              <w:rPr>
                <w:lang w:eastAsia="en-US"/>
              </w:rPr>
              <w:t xml:space="preserve"> резиновая плитка </w:t>
            </w:r>
          </w:p>
        </w:tc>
        <w:tc>
          <w:tcPr>
            <w:tcW w:w="6378" w:type="dxa"/>
            <w:tcBorders>
              <w:top w:val="single" w:sz="4" w:space="0" w:color="auto"/>
              <w:left w:val="nil"/>
              <w:bottom w:val="single" w:sz="4" w:space="0" w:color="auto"/>
              <w:right w:val="single" w:sz="4" w:space="0" w:color="auto"/>
            </w:tcBorders>
            <w:hideMark/>
          </w:tcPr>
          <w:tbl>
            <w:tblPr>
              <w:tblW w:w="6270" w:type="dxa"/>
              <w:tblBorders>
                <w:top w:val="single" w:sz="4" w:space="0" w:color="777777"/>
                <w:left w:val="single" w:sz="4" w:space="0" w:color="777777"/>
                <w:bottom w:val="single" w:sz="4" w:space="0" w:color="777777"/>
                <w:right w:val="single" w:sz="4" w:space="0" w:color="777777"/>
              </w:tblBorders>
              <w:tblLayout w:type="fixed"/>
              <w:tblCellMar>
                <w:left w:w="0" w:type="dxa"/>
                <w:right w:w="0" w:type="dxa"/>
              </w:tblCellMar>
              <w:tblLook w:val="04A0" w:firstRow="1" w:lastRow="0" w:firstColumn="1" w:lastColumn="0" w:noHBand="0" w:noVBand="1"/>
            </w:tblPr>
            <w:tblGrid>
              <w:gridCol w:w="2198"/>
              <w:gridCol w:w="4072"/>
            </w:tblGrid>
            <w:tr w:rsidR="00254430">
              <w:tc>
                <w:tcPr>
                  <w:tcW w:w="2196"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Размер:</w:t>
                  </w:r>
                </w:p>
              </w:tc>
              <w:tc>
                <w:tcPr>
                  <w:tcW w:w="4069"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500x500x40 мм</w:t>
                  </w:r>
                </w:p>
              </w:tc>
            </w:tr>
            <w:tr w:rsidR="00254430">
              <w:tc>
                <w:tcPr>
                  <w:tcW w:w="2196"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Толщина:</w:t>
                  </w:r>
                </w:p>
              </w:tc>
              <w:tc>
                <w:tcPr>
                  <w:tcW w:w="4069"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40 мм</w:t>
                  </w:r>
                </w:p>
              </w:tc>
            </w:tr>
            <w:tr w:rsidR="00254430">
              <w:tc>
                <w:tcPr>
                  <w:tcW w:w="2196"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Материал:</w:t>
                  </w:r>
                </w:p>
              </w:tc>
              <w:tc>
                <w:tcPr>
                  <w:tcW w:w="4069"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90% резиновая крошка,</w:t>
                  </w:r>
                </w:p>
              </w:tc>
            </w:tr>
            <w:tr w:rsidR="00254430">
              <w:tc>
                <w:tcPr>
                  <w:tcW w:w="2196"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Температура использования:</w:t>
                  </w:r>
                </w:p>
              </w:tc>
              <w:tc>
                <w:tcPr>
                  <w:tcW w:w="4069"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+60С … - 45С (с полным покрытием диапазона)</w:t>
                  </w:r>
                </w:p>
              </w:tc>
            </w:tr>
            <w:tr w:rsidR="00254430">
              <w:tc>
                <w:tcPr>
                  <w:tcW w:w="2196"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Плотность:</w:t>
                  </w:r>
                </w:p>
              </w:tc>
              <w:tc>
                <w:tcPr>
                  <w:tcW w:w="4069"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Не менее 950 кг/м</w:t>
                  </w:r>
                  <w:r>
                    <w:rPr>
                      <w:vertAlign w:val="superscript"/>
                      <w:lang w:eastAsia="en-US"/>
                    </w:rPr>
                    <w:t>2 </w:t>
                  </w:r>
                  <w:r>
                    <w:rPr>
                      <w:lang w:eastAsia="en-US"/>
                    </w:rPr>
                    <w:t>(параметр не требует конкретизации)</w:t>
                  </w:r>
                </w:p>
              </w:tc>
            </w:tr>
            <w:tr w:rsidR="00254430">
              <w:tc>
                <w:tcPr>
                  <w:tcW w:w="2196"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Морозоустойчивость:</w:t>
                  </w:r>
                </w:p>
              </w:tc>
              <w:tc>
                <w:tcPr>
                  <w:tcW w:w="4069"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Нет изменений 20 циклов - 20</w:t>
                  </w:r>
                  <w:r>
                    <w:rPr>
                      <w:vertAlign w:val="superscript"/>
                      <w:lang w:eastAsia="en-US"/>
                    </w:rPr>
                    <w:t>0</w:t>
                  </w:r>
                  <w:r>
                    <w:rPr>
                      <w:lang w:eastAsia="en-US"/>
                    </w:rPr>
                    <w:t>С</w:t>
                  </w:r>
                </w:p>
              </w:tc>
            </w:tr>
            <w:tr w:rsidR="00254430">
              <w:tc>
                <w:tcPr>
                  <w:tcW w:w="2196"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Безопасная высота при падении</w:t>
                  </w:r>
                </w:p>
              </w:tc>
              <w:tc>
                <w:tcPr>
                  <w:tcW w:w="4069"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Не менее 130 см (параметр не требует конкретизации)</w:t>
                  </w:r>
                </w:p>
              </w:tc>
            </w:tr>
            <w:tr w:rsidR="00254430">
              <w:tc>
                <w:tcPr>
                  <w:tcW w:w="2196"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Химическая устойчивость:</w:t>
                  </w:r>
                </w:p>
              </w:tc>
              <w:tc>
                <w:tcPr>
                  <w:tcW w:w="4069"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Бензин – нет повреждений</w:t>
                  </w:r>
                  <w:r>
                    <w:rPr>
                      <w:lang w:eastAsia="en-US"/>
                    </w:rPr>
                    <w:br/>
                    <w:t>Масло – нет повреждений</w:t>
                  </w:r>
                  <w:r>
                    <w:rPr>
                      <w:lang w:eastAsia="en-US"/>
                    </w:rPr>
                    <w:br/>
                    <w:t xml:space="preserve">Стойкость к кратковременным воздействиям </w:t>
                  </w:r>
                </w:p>
                <w:p w:rsidR="00254430" w:rsidRDefault="00254430">
                  <w:pPr>
                    <w:spacing w:line="276" w:lineRule="auto"/>
                    <w:jc w:val="both"/>
                    <w:rPr>
                      <w:lang w:eastAsia="en-US"/>
                    </w:rPr>
                  </w:pPr>
                  <w:r>
                    <w:rPr>
                      <w:lang w:eastAsia="en-US"/>
                    </w:rPr>
                    <w:t>кислот и щелочей</w:t>
                  </w:r>
                </w:p>
              </w:tc>
            </w:tr>
            <w:tr w:rsidR="00254430">
              <w:tc>
                <w:tcPr>
                  <w:tcW w:w="2196"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Водопроницаемость:</w:t>
                  </w:r>
                </w:p>
              </w:tc>
              <w:tc>
                <w:tcPr>
                  <w:tcW w:w="4069"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 xml:space="preserve">Плитка водопроницаема, вода уходит через </w:t>
                  </w:r>
                </w:p>
                <w:p w:rsidR="00254430" w:rsidRDefault="00254430">
                  <w:pPr>
                    <w:spacing w:line="276" w:lineRule="auto"/>
                    <w:jc w:val="both"/>
                    <w:rPr>
                      <w:lang w:eastAsia="en-US"/>
                    </w:rPr>
                  </w:pPr>
                  <w:r>
                    <w:rPr>
                      <w:lang w:eastAsia="en-US"/>
                    </w:rPr>
                    <w:t>стыки.</w:t>
                  </w:r>
                </w:p>
              </w:tc>
            </w:tr>
            <w:tr w:rsidR="00254430">
              <w:tc>
                <w:tcPr>
                  <w:tcW w:w="2196"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Цветовая гамма:</w:t>
                  </w:r>
                </w:p>
              </w:tc>
              <w:tc>
                <w:tcPr>
                  <w:tcW w:w="4069"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Красная или зеленая</w:t>
                  </w:r>
                </w:p>
              </w:tc>
            </w:tr>
            <w:tr w:rsidR="00254430">
              <w:tc>
                <w:tcPr>
                  <w:tcW w:w="2196"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 xml:space="preserve">Область применения </w:t>
                  </w:r>
                </w:p>
              </w:tc>
              <w:tc>
                <w:tcPr>
                  <w:tcW w:w="4069" w:type="dxa"/>
                  <w:tcBorders>
                    <w:top w:val="single" w:sz="4" w:space="0" w:color="DDDDDD"/>
                    <w:left w:val="single" w:sz="4" w:space="0" w:color="DDDDDD"/>
                    <w:bottom w:val="single" w:sz="4" w:space="0" w:color="DDDDDD"/>
                    <w:right w:val="single" w:sz="4" w:space="0" w:color="DDDDDD"/>
                  </w:tcBorders>
                  <w:tcMar>
                    <w:top w:w="36" w:type="dxa"/>
                    <w:left w:w="48" w:type="dxa"/>
                    <w:bottom w:w="36" w:type="dxa"/>
                    <w:right w:w="48" w:type="dxa"/>
                  </w:tcMar>
                  <w:hideMark/>
                </w:tcPr>
                <w:p w:rsidR="00254430" w:rsidRDefault="00254430">
                  <w:pPr>
                    <w:spacing w:line="276" w:lineRule="auto"/>
                    <w:jc w:val="both"/>
                    <w:rPr>
                      <w:lang w:eastAsia="en-US"/>
                    </w:rPr>
                  </w:pPr>
                  <w:r>
                    <w:rPr>
                      <w:lang w:eastAsia="en-US"/>
                    </w:rPr>
                    <w:t>Покрытие открытых спортивных сооружений, спортивных дорожек, игровых площадок</w:t>
                  </w:r>
                </w:p>
              </w:tc>
            </w:tr>
          </w:tbl>
          <w:p w:rsidR="00254430" w:rsidRDefault="00254430">
            <w:pPr>
              <w:keepNext/>
              <w:spacing w:line="276" w:lineRule="auto"/>
              <w:jc w:val="both"/>
              <w:rPr>
                <w:lang w:eastAsia="en-US"/>
              </w:rPr>
            </w:pPr>
          </w:p>
        </w:tc>
        <w:tc>
          <w:tcPr>
            <w:tcW w:w="1003" w:type="dxa"/>
            <w:tcBorders>
              <w:top w:val="single" w:sz="4" w:space="0" w:color="auto"/>
              <w:left w:val="single" w:sz="4" w:space="0" w:color="auto"/>
              <w:bottom w:val="single" w:sz="4" w:space="0" w:color="auto"/>
              <w:right w:val="single" w:sz="4" w:space="0" w:color="auto"/>
            </w:tcBorders>
            <w:vAlign w:val="center"/>
            <w:hideMark/>
          </w:tcPr>
          <w:p w:rsidR="00254430" w:rsidRDefault="00254430">
            <w:pPr>
              <w:spacing w:line="276" w:lineRule="auto"/>
              <w:jc w:val="both"/>
              <w:rPr>
                <w:lang w:eastAsia="en-US"/>
              </w:rPr>
            </w:pPr>
            <w:proofErr w:type="spellStart"/>
            <w:r>
              <w:rPr>
                <w:lang w:eastAsia="en-US"/>
              </w:rPr>
              <w:t>шт</w:t>
            </w:r>
            <w:proofErr w:type="spellEnd"/>
          </w:p>
        </w:tc>
        <w:tc>
          <w:tcPr>
            <w:tcW w:w="710" w:type="dxa"/>
            <w:tcBorders>
              <w:top w:val="single" w:sz="4" w:space="0" w:color="auto"/>
              <w:left w:val="single" w:sz="4" w:space="0" w:color="auto"/>
              <w:bottom w:val="single" w:sz="4" w:space="0" w:color="auto"/>
              <w:right w:val="single" w:sz="4" w:space="0" w:color="auto"/>
            </w:tcBorders>
            <w:vAlign w:val="center"/>
            <w:hideMark/>
          </w:tcPr>
          <w:p w:rsidR="00254430" w:rsidRDefault="00254430">
            <w:pPr>
              <w:spacing w:line="276" w:lineRule="auto"/>
              <w:jc w:val="both"/>
              <w:rPr>
                <w:lang w:eastAsia="en-US"/>
              </w:rPr>
            </w:pPr>
            <w:r>
              <w:rPr>
                <w:lang w:eastAsia="en-US"/>
              </w:rPr>
              <w:t>8200</w:t>
            </w:r>
          </w:p>
        </w:tc>
      </w:tr>
    </w:tbl>
    <w:p w:rsidR="00254430" w:rsidRDefault="00254430" w:rsidP="00254430">
      <w:pPr>
        <w:suppressAutoHyphens/>
        <w:ind w:left="284"/>
        <w:jc w:val="both"/>
        <w:rPr>
          <w:b/>
          <w:color w:val="000000"/>
          <w:sz w:val="24"/>
          <w:szCs w:val="24"/>
        </w:rPr>
      </w:pPr>
    </w:p>
    <w:p w:rsidR="00254430" w:rsidRDefault="00254430" w:rsidP="00254430">
      <w:pPr>
        <w:ind w:left="360"/>
        <w:contextualSpacing/>
        <w:jc w:val="both"/>
        <w:rPr>
          <w:sz w:val="24"/>
          <w:szCs w:val="24"/>
        </w:rPr>
      </w:pPr>
      <w:r>
        <w:rPr>
          <w:b/>
          <w:sz w:val="24"/>
          <w:szCs w:val="24"/>
        </w:rPr>
        <w:t>2. Общие требования:</w:t>
      </w:r>
      <w:r>
        <w:rPr>
          <w:sz w:val="24"/>
          <w:szCs w:val="24"/>
        </w:rPr>
        <w:t xml:space="preserve"> Поставщик предоставляет Сертификаты соответствия на поставляемый товар с указанием фирмы – изготовителя, оформленные в соответствии с законодательством РФ (Федеральный закон от 27 декабря 2002 г. № 184-ФЗ «О техническом регулировании»).</w:t>
      </w:r>
    </w:p>
    <w:p w:rsidR="00254430" w:rsidRDefault="00254430" w:rsidP="00254430">
      <w:pPr>
        <w:ind w:left="360"/>
        <w:contextualSpacing/>
        <w:jc w:val="both"/>
        <w:rPr>
          <w:sz w:val="24"/>
          <w:szCs w:val="24"/>
        </w:rPr>
      </w:pPr>
      <w:r>
        <w:rPr>
          <w:sz w:val="24"/>
          <w:szCs w:val="24"/>
        </w:rPr>
        <w:t xml:space="preserve">В случае несоответствия поставляемого товара Сертификату соответствия: </w:t>
      </w:r>
    </w:p>
    <w:p w:rsidR="00254430" w:rsidRDefault="00254430" w:rsidP="00254430">
      <w:pPr>
        <w:ind w:left="360"/>
        <w:contextualSpacing/>
        <w:jc w:val="both"/>
        <w:rPr>
          <w:sz w:val="24"/>
          <w:szCs w:val="24"/>
        </w:rPr>
      </w:pPr>
      <w:r>
        <w:rPr>
          <w:sz w:val="24"/>
          <w:szCs w:val="24"/>
        </w:rPr>
        <w:t>- все необходимые процедуры и оформление документов для предъявления рекламаций выполняет Поставщик;</w:t>
      </w:r>
    </w:p>
    <w:p w:rsidR="00254430" w:rsidRDefault="00254430" w:rsidP="00254430">
      <w:pPr>
        <w:ind w:left="360"/>
        <w:contextualSpacing/>
        <w:jc w:val="both"/>
        <w:rPr>
          <w:sz w:val="24"/>
          <w:szCs w:val="24"/>
        </w:rPr>
      </w:pPr>
      <w:r>
        <w:rPr>
          <w:sz w:val="24"/>
          <w:szCs w:val="24"/>
        </w:rPr>
        <w:t>- замена некачественного товара осуществляется в течение 3 (трех) календарных дней с момента поступления претензии;</w:t>
      </w:r>
    </w:p>
    <w:p w:rsidR="00254430" w:rsidRDefault="00254430" w:rsidP="00254430">
      <w:pPr>
        <w:ind w:left="360"/>
        <w:contextualSpacing/>
        <w:jc w:val="both"/>
        <w:rPr>
          <w:sz w:val="24"/>
          <w:szCs w:val="24"/>
        </w:rPr>
      </w:pPr>
      <w:r>
        <w:rPr>
          <w:sz w:val="24"/>
          <w:szCs w:val="24"/>
        </w:rPr>
        <w:t>- транспортные услуги по замене некачественного товара осуществляются Поставщиком товара.</w:t>
      </w:r>
    </w:p>
    <w:p w:rsidR="00254430" w:rsidRDefault="00254430" w:rsidP="00254430">
      <w:pPr>
        <w:ind w:left="360"/>
        <w:contextualSpacing/>
        <w:jc w:val="both"/>
        <w:rPr>
          <w:sz w:val="24"/>
          <w:szCs w:val="24"/>
        </w:rPr>
      </w:pPr>
      <w:r>
        <w:rPr>
          <w:sz w:val="24"/>
          <w:szCs w:val="24"/>
        </w:rPr>
        <w:t>Поставка Товара осуществляется в строгом соответствии с требованиями "Гражданского кодекса Российской Федерации" (ГК РФ) Часть 2 от 26.01.1996 № 14-ФЗ, разд. IV, гл.30.</w:t>
      </w:r>
    </w:p>
    <w:p w:rsidR="00254430" w:rsidRDefault="00254430" w:rsidP="00254430">
      <w:pPr>
        <w:ind w:left="360"/>
        <w:contextualSpacing/>
        <w:jc w:val="both"/>
        <w:rPr>
          <w:sz w:val="24"/>
          <w:szCs w:val="24"/>
        </w:rPr>
      </w:pPr>
      <w:r>
        <w:rPr>
          <w:sz w:val="24"/>
          <w:szCs w:val="24"/>
        </w:rPr>
        <w:t>Поставщик должен гарантировать, что поставляемый товар, его качество и безопасность соответствует требованиям государственных и национальных стандартов Российской Федерации, санитарных норм и правил, гигиенических требований и иных нормативных правовых актов, устанавливающих обязательные требования в отношении данного вида товара.</w:t>
      </w:r>
    </w:p>
    <w:p w:rsidR="00254430" w:rsidRDefault="00254430" w:rsidP="00254430">
      <w:pPr>
        <w:ind w:left="360"/>
        <w:contextualSpacing/>
        <w:jc w:val="both"/>
        <w:rPr>
          <w:sz w:val="24"/>
          <w:szCs w:val="24"/>
        </w:rPr>
      </w:pPr>
      <w:r>
        <w:rPr>
          <w:sz w:val="24"/>
          <w:szCs w:val="24"/>
        </w:rPr>
        <w:t>Упаковка и маркировка товара должна соответствовать принятым стандартам фирм- изготовителей и обеспечивать сохранность товара при транспортировке и погрузочно-</w:t>
      </w:r>
      <w:r>
        <w:rPr>
          <w:sz w:val="24"/>
          <w:szCs w:val="24"/>
        </w:rPr>
        <w:lastRenderedPageBreak/>
        <w:t>разгрузочных работах к конечному месту. Маркировка товара должна содержать: наименование изделия, наименование фирмы-изготовителя и дату выпуска. Маркировка упаковки должна строго соответствовать маркировке товара.</w:t>
      </w:r>
    </w:p>
    <w:p w:rsidR="00254430" w:rsidRDefault="00254430" w:rsidP="00254430">
      <w:pPr>
        <w:ind w:left="360"/>
        <w:contextualSpacing/>
        <w:jc w:val="both"/>
        <w:rPr>
          <w:sz w:val="24"/>
          <w:szCs w:val="24"/>
        </w:rPr>
      </w:pPr>
      <w:r>
        <w:rPr>
          <w:sz w:val="24"/>
          <w:szCs w:val="24"/>
        </w:rPr>
        <w:t>Упаковка должна обеспечивать сохранность товара при погрузочно-разгрузочных работах и транспортировке к конечному месту эксплуатации.</w:t>
      </w:r>
    </w:p>
    <w:p w:rsidR="00254430" w:rsidRDefault="00254430" w:rsidP="00254430">
      <w:pPr>
        <w:ind w:left="360"/>
        <w:contextualSpacing/>
        <w:jc w:val="both"/>
        <w:rPr>
          <w:sz w:val="24"/>
          <w:szCs w:val="24"/>
        </w:rPr>
      </w:pPr>
      <w:r>
        <w:rPr>
          <w:sz w:val="24"/>
          <w:szCs w:val="24"/>
        </w:rPr>
        <w:t>Поставляемый товар должен быть новым, не бывшим в употреблении, смонтирован из новых деталей без использования бывших в употреблении элементов, а также свободными от прав на него третьих лиц. Товар не должен ранее подвергаться ремонту, модернизации или восстановлению, не должен быть снятым с длительного хранения.</w:t>
      </w:r>
    </w:p>
    <w:p w:rsidR="00254430" w:rsidRDefault="00254430" w:rsidP="00254430">
      <w:pPr>
        <w:ind w:left="360"/>
        <w:contextualSpacing/>
        <w:jc w:val="both"/>
        <w:rPr>
          <w:sz w:val="24"/>
          <w:szCs w:val="24"/>
        </w:rPr>
      </w:pPr>
      <w:r>
        <w:rPr>
          <w:sz w:val="24"/>
          <w:szCs w:val="24"/>
        </w:rPr>
        <w:t>Остаточный срок годности товара на момент поставки должен составлять не менее 80% от установленного производителем</w:t>
      </w:r>
    </w:p>
    <w:p w:rsidR="00254430" w:rsidRDefault="00254430" w:rsidP="00254430">
      <w:pPr>
        <w:ind w:left="360"/>
        <w:contextualSpacing/>
        <w:jc w:val="both"/>
        <w:rPr>
          <w:sz w:val="24"/>
          <w:szCs w:val="24"/>
        </w:rPr>
      </w:pPr>
      <w:r>
        <w:rPr>
          <w:sz w:val="24"/>
          <w:szCs w:val="24"/>
        </w:rPr>
        <w:t xml:space="preserve">Установленный на товар гарантийный срок, условия и порядок гарантийного обслуживания товара, указываются в гарантийном сертификате, оформляемом при поставке товара и передаваемом Заказчику одновременно с товаром. </w:t>
      </w:r>
    </w:p>
    <w:p w:rsidR="00254430" w:rsidRDefault="00254430" w:rsidP="00254430">
      <w:pPr>
        <w:ind w:left="360"/>
        <w:contextualSpacing/>
        <w:jc w:val="both"/>
        <w:rPr>
          <w:sz w:val="24"/>
          <w:szCs w:val="24"/>
        </w:rPr>
      </w:pPr>
      <w:r>
        <w:rPr>
          <w:sz w:val="24"/>
          <w:szCs w:val="24"/>
        </w:rPr>
        <w:t>Заказчик оставляет за собой право провести независимую экспертизу по качеству и оригинальности поставляемой продукции.</w:t>
      </w:r>
    </w:p>
    <w:p w:rsidR="00254430" w:rsidRDefault="00254430" w:rsidP="00254430">
      <w:pPr>
        <w:ind w:left="360"/>
        <w:contextualSpacing/>
        <w:jc w:val="both"/>
        <w:rPr>
          <w:sz w:val="24"/>
          <w:szCs w:val="24"/>
        </w:rPr>
      </w:pPr>
      <w:r>
        <w:rPr>
          <w:sz w:val="24"/>
          <w:szCs w:val="24"/>
        </w:rPr>
        <w:t>Все заявленные технические параметры поставляемого товара обязательно должны подтверждаться официальными документами производителя, доступными из открытых источников. Заказчик имеет право проверить заявленные характеристики любым доступным способом (получение данных на официальном сайте производителя, запрос производителя и т.д.).</w:t>
      </w:r>
    </w:p>
    <w:p w:rsidR="00254430" w:rsidRDefault="00254430" w:rsidP="00254430">
      <w:pPr>
        <w:rPr>
          <w:sz w:val="24"/>
          <w:szCs w:val="24"/>
        </w:rPr>
      </w:pPr>
      <w:r>
        <w:rPr>
          <w:sz w:val="24"/>
          <w:szCs w:val="24"/>
        </w:rPr>
        <w:t xml:space="preserve">Поставщику будет отказано в приемке товара, на основании несоответствия качества поставляемых материалов </w:t>
      </w:r>
      <w:proofErr w:type="gramStart"/>
      <w:r>
        <w:rPr>
          <w:sz w:val="24"/>
          <w:szCs w:val="24"/>
        </w:rPr>
        <w:t>товарам</w:t>
      </w:r>
      <w:proofErr w:type="gramEnd"/>
      <w:r>
        <w:rPr>
          <w:sz w:val="24"/>
          <w:szCs w:val="24"/>
        </w:rPr>
        <w:t xml:space="preserve"> указанным в технической документации аукциона на соответствующую поставку. При несогласии Поставщика с доводами Заказчика, товар будет отправлен для проведения экспертизы. Расходы по проведению экспертизы в рамках доказанного несоответствия техническому заданию будут возложены на Поставщика в форме возмещения </w:t>
      </w:r>
      <w:proofErr w:type="gramStart"/>
      <w:r>
        <w:rPr>
          <w:sz w:val="24"/>
          <w:szCs w:val="24"/>
        </w:rPr>
        <w:t>убытков</w:t>
      </w:r>
      <w:proofErr w:type="gramEnd"/>
      <w:r>
        <w:rPr>
          <w:sz w:val="24"/>
          <w:szCs w:val="24"/>
        </w:rPr>
        <w:t xml:space="preserve"> понесенных Заказчиком при исполнении контракта</w:t>
      </w:r>
    </w:p>
    <w:p w:rsidR="0062436E" w:rsidRDefault="0062436E" w:rsidP="00254430">
      <w:pPr>
        <w:rPr>
          <w:sz w:val="24"/>
          <w:szCs w:val="24"/>
        </w:rPr>
      </w:pPr>
    </w:p>
    <w:p w:rsidR="0062436E" w:rsidRDefault="0062436E" w:rsidP="00254430">
      <w:r>
        <w:rPr>
          <w:b/>
          <w:sz w:val="24"/>
          <w:szCs w:val="24"/>
        </w:rPr>
        <w:t>Место поставки товара:</w:t>
      </w:r>
      <w:r>
        <w:rPr>
          <w:sz w:val="24"/>
          <w:szCs w:val="24"/>
        </w:rPr>
        <w:t xml:space="preserve"> 683000, Камчатский край, г. Петропавловск-Камчатский</w:t>
      </w:r>
      <w:bookmarkStart w:id="0" w:name="_GoBack"/>
      <w:bookmarkEnd w:id="0"/>
    </w:p>
    <w:sectPr w:rsidR="00624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30"/>
    <w:rsid w:val="00254430"/>
    <w:rsid w:val="0062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F35D"/>
  <w15:chartTrackingRefBased/>
  <w15:docId w15:val="{57173922-656D-4905-A78F-63353278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43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2019-05-22T13:07:00Z</dcterms:created>
  <dcterms:modified xsi:type="dcterms:W3CDTF">2019-05-23T11:49:00Z</dcterms:modified>
</cp:coreProperties>
</file>