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shd w:val="clear" w:color="auto" w:fill="FFFFFF"/>
        <w:tabs>
          <w:tab w:val="left" w:pos="426" w:leader="none"/>
          <w:tab w:val="left" w:pos="567" w:leader="none"/>
          <w:tab w:val="left" w:pos="1134" w:leader="none"/>
        </w:tabs>
        <w:suppressAutoHyphens w:val="true"/>
        <w:spacing w:before="120" w:after="0"/>
        <w:ind w:left="0" w:hanging="0"/>
        <w:contextualSpacing/>
        <w:jc w:val="center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ТЕХНИЧЕСКОЕ ЗАДАНИЕ</w:t>
      </w:r>
    </w:p>
    <w:p>
      <w:pPr>
        <w:pStyle w:val="Normal"/>
        <w:rPr/>
      </w:pPr>
      <w:r>
        <w:rPr/>
      </w:r>
    </w:p>
    <w:tbl>
      <w:tblPr>
        <w:tblStyle w:val="a5"/>
        <w:tblW w:w="1450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29"/>
        <w:gridCol w:w="1268"/>
        <w:gridCol w:w="1421"/>
        <w:gridCol w:w="8997"/>
        <w:gridCol w:w="1111"/>
        <w:gridCol w:w="1182"/>
      </w:tblGrid>
      <w:tr>
        <w:trPr/>
        <w:tc>
          <w:tcPr>
            <w:tcW w:w="52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8"/>
                <w:szCs w:val="18"/>
              </w:rPr>
            </w:pPr>
            <w:r>
              <w:rPr>
                <w:rFonts w:eastAsia=""/>
                <w:b/>
                <w:color w:val="000000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"/>
                <w:b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26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8"/>
                <w:szCs w:val="18"/>
              </w:rPr>
            </w:pPr>
            <w:r>
              <w:rPr>
                <w:rFonts w:eastAsia=""/>
                <w:b/>
                <w:color w:val="000000"/>
                <w:sz w:val="18"/>
                <w:szCs w:val="18"/>
                <w:lang w:eastAsia="ru-RU"/>
              </w:rPr>
              <w:t>ОКПД 2 ОК 034-2014</w:t>
            </w:r>
          </w:p>
        </w:tc>
        <w:tc>
          <w:tcPr>
            <w:tcW w:w="14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8"/>
                <w:szCs w:val="18"/>
              </w:rPr>
            </w:pPr>
            <w:r>
              <w:rPr>
                <w:rFonts w:eastAsia=""/>
                <w:b/>
                <w:color w:val="000000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899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8"/>
                <w:szCs w:val="18"/>
              </w:rPr>
            </w:pPr>
            <w:r>
              <w:rPr>
                <w:rFonts w:eastAsia=""/>
                <w:b/>
                <w:color w:val="000000"/>
                <w:sz w:val="18"/>
                <w:szCs w:val="18"/>
                <w:lang w:eastAsia="ru-RU"/>
              </w:rPr>
              <w:t>Требования к товару</w:t>
            </w:r>
          </w:p>
        </w:tc>
        <w:tc>
          <w:tcPr>
            <w:tcW w:w="111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8"/>
                <w:szCs w:val="18"/>
              </w:rPr>
            </w:pPr>
            <w:r>
              <w:rPr>
                <w:rFonts w:eastAsia=""/>
                <w:b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8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"/>
                <w:b/>
                <w:bCs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</w:tr>
      <w:tr>
        <w:trPr/>
        <w:tc>
          <w:tcPr>
            <w:tcW w:w="52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4"/>
                <w:szCs w:val="14"/>
              </w:rPr>
            </w:pPr>
            <w:r>
              <w:rPr>
                <w:rFonts w:eastAsia=""/>
                <w:b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6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4"/>
                <w:szCs w:val="14"/>
              </w:rPr>
            </w:pPr>
            <w:r>
              <w:rPr>
                <w:rFonts w:eastAsia=""/>
                <w:b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4"/>
                <w:szCs w:val="14"/>
              </w:rPr>
            </w:pPr>
            <w:r>
              <w:rPr>
                <w:rFonts w:eastAsia=""/>
                <w:b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99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4"/>
                <w:szCs w:val="14"/>
              </w:rPr>
            </w:pPr>
            <w:r>
              <w:rPr>
                <w:rFonts w:eastAsia=""/>
                <w:b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1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0000"/>
                <w:sz w:val="14"/>
                <w:szCs w:val="14"/>
              </w:rPr>
            </w:pPr>
            <w:r>
              <w:rPr>
                <w:rFonts w:eastAsia=""/>
                <w:b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18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</w:tr>
      <w:tr>
        <w:trPr>
          <w:trHeight w:val="5369" w:hRule="atLeast"/>
        </w:trPr>
        <w:tc>
          <w:tcPr>
            <w:tcW w:w="52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exact" w:line="22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" w:eastAsiaTheme="minorEastAsi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" w:eastAsiaTheme="minorEastAsia"/>
                <w:sz w:val="18"/>
                <w:szCs w:val="18"/>
                <w:lang w:eastAsia="ru-RU"/>
              </w:rPr>
              <w:t>26.20.15.000</w:t>
            </w:r>
          </w:p>
        </w:tc>
        <w:tc>
          <w:tcPr>
            <w:tcW w:w="14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" w:eastAsiaTheme="minorEastAsia"/>
                <w:sz w:val="18"/>
                <w:szCs w:val="18"/>
                <w:lang w:eastAsia="ru-RU"/>
              </w:rPr>
              <w:t>Персональный компьютер (моноблок)</w:t>
            </w:r>
          </w:p>
        </w:tc>
        <w:tc>
          <w:tcPr>
            <w:tcW w:w="8997" w:type="dxa"/>
            <w:tcBorders/>
            <w:shd w:fill="auto" w:val="clear"/>
            <w:tcMar>
              <w:left w:w="108" w:type="dxa"/>
            </w:tcMar>
            <w:vAlign w:val="center"/>
          </w:tcPr>
          <w:tbl>
            <w:tblPr>
              <w:tblW w:w="8772" w:type="dxa"/>
              <w:jc w:val="left"/>
              <w:tblInd w:w="0" w:type="dxa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  <w:insideH w:val="single" w:sz="4" w:space="0" w:color="00000A"/>
                <w:insideV w:val="single" w:sz="4" w:space="0" w:color="00000A"/>
              </w:tblBorders>
              <w:tblCellMar>
                <w:top w:w="0" w:type="dxa"/>
                <w:left w:w="103" w:type="dxa"/>
                <w:bottom w:w="0" w:type="dxa"/>
                <w:right w:w="108" w:type="dxa"/>
              </w:tblCellMar>
              <w:tblLook w:val="04a0" w:noVBand="1" w:noHBand="0" w:lastColumn="0" w:firstColumn="1" w:lastRow="0" w:firstRow="1"/>
            </w:tblPr>
            <w:tblGrid>
              <w:gridCol w:w="1130"/>
              <w:gridCol w:w="2920"/>
              <w:gridCol w:w="4722"/>
            </w:tblGrid>
            <w:tr>
              <w:trPr>
                <w:trHeight w:val="70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  <w:lang w:val="en-US"/>
                    </w:rPr>
                  </w:pPr>
                  <w:r>
                    <w:rPr>
                      <w:rFonts w:eastAsia="" w:eastAsiaTheme="minorEastAsia"/>
                      <w:spacing w:val="-3"/>
                      <w:sz w:val="18"/>
                      <w:szCs w:val="18"/>
                      <w:lang w:eastAsia="ru-RU"/>
                    </w:rPr>
                    <w:t>1.</w:t>
                  </w:r>
                  <w:r>
                    <w:rPr>
                      <w:rFonts w:eastAsia="" w:eastAsiaTheme="minorEastAsia"/>
                      <w:spacing w:val="-3"/>
                      <w:sz w:val="18"/>
                      <w:szCs w:val="18"/>
                      <w:lang w:val="en-US" w:eastAsia="ru-RU"/>
                    </w:rPr>
                    <w:t>1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Процессор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Количество ядер – не менее 6 (шести)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Количество потоков – не менее 6 (шести)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Базовая тактовая частота (без режима </w:t>
                  </w:r>
                  <w:r>
                    <w:rPr>
                      <w:sz w:val="18"/>
                      <w:szCs w:val="18"/>
                      <w:lang w:val="en-US"/>
                    </w:rPr>
                    <w:t>Turbo</w:t>
                  </w:r>
                  <w:r>
                    <w:rPr>
                      <w:sz w:val="18"/>
                      <w:szCs w:val="18"/>
                    </w:rPr>
                    <w:t>) – не менее 3.0 ГГц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Кэш-память – не менее 9 Мбайт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Встроенный графический контроллер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1.2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Экран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Размер матрицы – </w:t>
                  </w:r>
                  <w:r>
                    <w:rPr>
                      <w:rFonts w:eastAsia="Gulim"/>
                      <w:sz w:val="18"/>
                      <w:szCs w:val="18"/>
                      <w:lang w:eastAsia="ko-KR"/>
                    </w:rPr>
                    <w:t>не менее 23 дюймов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Разрешение – не менее 1920x1080 точек на дюйм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Поверхность экрана должна быть матовой</w:t>
                  </w:r>
                </w:p>
              </w:tc>
            </w:tr>
            <w:tr>
              <w:trPr>
                <w:trHeight w:val="197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1.3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Характеристики корпуса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Встроенный в корпус блок питания мощностью не менее 250 Вт и энергоэффективностью не менее 80% при 100% нагрузке.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Наличие отверстия для замка </w:t>
                  </w:r>
                  <w:r>
                    <w:rPr>
                      <w:sz w:val="18"/>
                      <w:szCs w:val="18"/>
                      <w:lang w:val="en-US"/>
                    </w:rPr>
                    <w:t>Kensington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  <w:lang w:val="en-US"/>
                    </w:rPr>
                    <w:t>Lock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Наличие механической блокировки для веб-камеры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1.4</w:t>
                  </w:r>
                </w:p>
              </w:tc>
              <w:tc>
                <w:tcPr>
                  <w:tcW w:w="292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Аудио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ListParagraph"/>
                    <w:spacing w:before="0" w:after="0"/>
                    <w:ind w:left="0" w:hanging="0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(два) встроенных стерео-динамика мощностью не менее 3 Вт каждый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1.5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Видеоконтроллер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Интегрированный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Базовая частота графической системы – не менее 350 МГц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1.6</w:t>
                  </w:r>
                </w:p>
              </w:tc>
              <w:tc>
                <w:tcPr>
                  <w:tcW w:w="292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Камера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Наличие, с цифровым микрофоном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1.7</w:t>
                  </w:r>
                </w:p>
              </w:tc>
              <w:tc>
                <w:tcPr>
                  <w:tcW w:w="292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Возможности подключения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Сетевой адаптер </w:t>
                  </w:r>
                  <w:r>
                    <w:rPr>
                      <w:sz w:val="18"/>
                      <w:szCs w:val="18"/>
                      <w:lang w:val="en-US"/>
                    </w:rPr>
                    <w:t>Ethernet</w:t>
                  </w:r>
                  <w:r>
                    <w:rPr>
                      <w:sz w:val="18"/>
                      <w:szCs w:val="18"/>
                    </w:rPr>
                    <w:t xml:space="preserve"> с интерфейсом RJ45, скорость передачи данных – не менее 10/100/1000 Мбит/сек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1.8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Внешние разъемы ввода-вывода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не менее 6 (шести) портов USB, включая не менее 4 (четырех) портов USB 3.0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не менее 1 (одного) порта </w:t>
                  </w:r>
                  <w:r>
                    <w:rPr>
                      <w:sz w:val="18"/>
                      <w:szCs w:val="18"/>
                      <w:lang w:val="en-US"/>
                    </w:rPr>
                    <w:t>Ethernet</w:t>
                  </w:r>
                  <w:r>
                    <w:rPr>
                      <w:sz w:val="18"/>
                      <w:szCs w:val="18"/>
                    </w:rPr>
                    <w:t xml:space="preserve"> (</w:t>
                  </w:r>
                  <w:r>
                    <w:rPr>
                      <w:sz w:val="18"/>
                      <w:szCs w:val="18"/>
                      <w:lang w:val="en-US"/>
                    </w:rPr>
                    <w:t>RJ</w:t>
                  </w:r>
                  <w:r>
                    <w:rPr>
                      <w:sz w:val="18"/>
                      <w:szCs w:val="18"/>
                    </w:rPr>
                    <w:t>45)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не менее 1 (одного) порта </w:t>
                  </w:r>
                  <w:r>
                    <w:rPr>
                      <w:sz w:val="18"/>
                      <w:szCs w:val="18"/>
                      <w:lang w:val="en-US"/>
                    </w:rPr>
                    <w:t>VGA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не менее 1 (одного) порта </w:t>
                  </w:r>
                  <w:r>
                    <w:rPr>
                      <w:sz w:val="18"/>
                      <w:szCs w:val="18"/>
                      <w:lang w:val="en-US"/>
                    </w:rPr>
                    <w:t>DVI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не менее 1 (одного) порта </w:t>
                  </w:r>
                  <w:r>
                    <w:rPr>
                      <w:sz w:val="18"/>
                      <w:szCs w:val="18"/>
                      <w:lang w:val="en-US"/>
                    </w:rPr>
                    <w:t>HDMI</w:t>
                  </w:r>
                </w:p>
              </w:tc>
            </w:tr>
            <w:tr>
              <w:trPr>
                <w:trHeight w:val="292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Все указанные порты должны быть реализованы без использования внешних переходников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1.9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Внутренние разъемы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не менее одного слота M.2 (</w:t>
                  </w:r>
                  <w:r>
                    <w:rPr>
                      <w:sz w:val="18"/>
                      <w:szCs w:val="18"/>
                      <w:lang w:val="en-US"/>
                    </w:rPr>
                    <w:t>Key</w:t>
                  </w:r>
                  <w:r>
                    <w:rPr>
                      <w:sz w:val="18"/>
                      <w:szCs w:val="18"/>
                    </w:rPr>
                    <w:t xml:space="preserve"> E)</w:t>
                  </w:r>
                </w:p>
              </w:tc>
            </w:tr>
            <w:tr>
              <w:trPr>
                <w:trHeight w:val="309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Возможность вывода не менее 2(двух) COM портов с внутренних коннекторов материнской платы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Возможность установки модуля беспроводной связи </w:t>
                  </w:r>
                  <w:r>
                    <w:rPr>
                      <w:sz w:val="18"/>
                      <w:szCs w:val="18"/>
                      <w:lang w:val="en-US"/>
                    </w:rPr>
                    <w:t>Wi</w:t>
                  </w:r>
                  <w:r>
                    <w:rPr>
                      <w:sz w:val="18"/>
                      <w:szCs w:val="18"/>
                    </w:rPr>
                    <w:t>-</w:t>
                  </w:r>
                  <w:r>
                    <w:rPr>
                      <w:sz w:val="18"/>
                      <w:szCs w:val="18"/>
                      <w:lang w:val="en-US"/>
                    </w:rPr>
                    <w:t>Fi</w:t>
                  </w:r>
                  <w:r>
                    <w:rPr>
                      <w:sz w:val="18"/>
                      <w:szCs w:val="18"/>
                    </w:rPr>
                    <w:t xml:space="preserve"> 802.11b/g/n/</w:t>
                  </w:r>
                  <w:r>
                    <w:rPr>
                      <w:sz w:val="18"/>
                      <w:szCs w:val="18"/>
                      <w:lang w:val="en-US"/>
                    </w:rPr>
                    <w:t>ac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1.10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Оперативная память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Частота – не менее 2400 МГц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Двухканальный режим работы памяти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Объем 8 Гбайт c возможностью расширения до 32 Гбайт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  <w:lang w:val="en-US"/>
                    </w:rPr>
                  </w:pPr>
                  <w:r>
                    <w:rPr>
                      <w:spacing w:val="-3"/>
                      <w:sz w:val="18"/>
                      <w:szCs w:val="18"/>
                      <w:lang w:val="en-US"/>
                    </w:rPr>
                    <w:t>1.11</w:t>
                  </w:r>
                </w:p>
              </w:tc>
              <w:tc>
                <w:tcPr>
                  <w:tcW w:w="292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Твердотельный</w:t>
                  </w:r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накопитель</w:t>
                  </w:r>
                  <w:r>
                    <w:rPr>
                      <w:sz w:val="18"/>
                      <w:szCs w:val="18"/>
                      <w:lang w:val="en-US"/>
                    </w:rPr>
                    <w:t xml:space="preserve"> (</w:t>
                  </w:r>
                  <w:r>
                    <w:rPr>
                      <w:sz w:val="18"/>
                      <w:szCs w:val="18"/>
                    </w:rPr>
                    <w:t>SSD</w:t>
                  </w:r>
                  <w:r>
                    <w:rPr>
                      <w:sz w:val="18"/>
                      <w:szCs w:val="18"/>
                      <w:lang w:val="en-US"/>
                    </w:rPr>
                    <w:t>)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ListParagraph"/>
                    <w:spacing w:before="0" w:after="0"/>
                    <w:ind w:left="0" w:hanging="0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Объем – не менее 500 Гбайт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1.12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Клавиатура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Интерфейс подключения – USB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Цвет – черный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Количество клавиш – не менее 104</w:t>
                  </w:r>
                </w:p>
              </w:tc>
            </w:tr>
            <w:tr>
              <w:trPr>
                <w:trHeight w:val="348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Раскладка кириллицы должна иметь цвет, отличный от английской раскладки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Все изображения на клавишах должны быть нанесены промышленным способом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  <w:lang w:val="en-US"/>
                    </w:rPr>
                    <w:t>1.1</w:t>
                  </w:r>
                  <w:r>
                    <w:rPr>
                      <w:spacing w:val="-3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Манипулятор «мышь»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Интерфейс подключения – USB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  <w:lang w:val="en-US"/>
                    </w:rPr>
                  </w:pPr>
                  <w:r>
                    <w:rPr>
                      <w:spacing w:val="-3"/>
                      <w:sz w:val="18"/>
                      <w:szCs w:val="18"/>
                      <w:lang w:val="en-US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Цвет – черный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  <w:lang w:val="en-US"/>
                    </w:rPr>
                  </w:pPr>
                  <w:r>
                    <w:rPr>
                      <w:spacing w:val="-3"/>
                      <w:sz w:val="18"/>
                      <w:szCs w:val="18"/>
                      <w:lang w:val="en-US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Длина кабеля - не менее 1.8м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Значение </w:t>
                  </w:r>
                  <w:r>
                    <w:rPr>
                      <w:sz w:val="18"/>
                      <w:szCs w:val="18"/>
                      <w:lang w:val="en-US"/>
                    </w:rPr>
                    <w:t>DPI</w:t>
                  </w:r>
                  <w:r>
                    <w:rPr>
                      <w:sz w:val="18"/>
                      <w:szCs w:val="18"/>
                    </w:rPr>
                    <w:t xml:space="preserve"> (показатель скорости считывания при смещении указателя) должно быть не менее 1000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Тип – оптическая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двухкнопочный, оптический, с колесом прокрутки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1.14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Базовая система ввода-вывода (</w:t>
                  </w:r>
                  <w:r>
                    <w:rPr>
                      <w:sz w:val="18"/>
                      <w:szCs w:val="18"/>
                      <w:lang w:val="en-US"/>
                    </w:rPr>
                    <w:t>BIOS</w:t>
                  </w:r>
                  <w:r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Наличие русифицированной базовой системы ввода-вывода (BIOS)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Поддержка клавиатуры и мыши для настройки BIOS</w:t>
                  </w:r>
                </w:p>
              </w:tc>
            </w:tr>
            <w:tr>
              <w:trPr>
                <w:trHeight w:val="344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Наличие разделения ролей администратора и пользователя BIOS (пароль пользователя и супервизора для BIOS)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Наличие возможности индивидуального отключения каждого USB порта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Наличие возможности сохранения всех настроек BIOS на USB накопитель</w:t>
                  </w:r>
                </w:p>
              </w:tc>
            </w:tr>
            <w:tr>
              <w:trPr>
                <w:trHeight w:val="344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Наличие возможности присваивать, просматривать и изменять инвентарный номер системного блока в настройках BIOS (до 15 знаков)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Две микросхемы BIOS для обеспечения отказоустойчивости  </w:t>
                  </w:r>
                </w:p>
              </w:tc>
            </w:tr>
            <w:tr>
              <w:trPr>
                <w:trHeight w:val="344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Микросхемы BIOS должны располагаться в разъемах без пайки для возможности извлечения без инструментов при замене или обслуживании</w:t>
                  </w:r>
                </w:p>
              </w:tc>
            </w:tr>
            <w:tr>
              <w:trPr>
                <w:trHeight w:val="344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возможность защиты от несанкционированной модификации (записи) FLASH EPROM</w:t>
                  </w:r>
                </w:p>
              </w:tc>
            </w:tr>
            <w:tr>
              <w:trPr>
                <w:trHeight w:val="344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возможность просмотра информации о состоянии накопителей информации с помощью данных S.M.A.R.T.</w:t>
                  </w:r>
                </w:p>
              </w:tc>
            </w:tr>
            <w:tr>
              <w:trPr>
                <w:trHeight w:val="344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защита от несанкционированной модификации корневой загрузочной записи (MBR)</w:t>
                  </w:r>
                </w:p>
              </w:tc>
            </w:tr>
            <w:tr>
              <w:trPr>
                <w:trHeight w:val="344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вывод сообщения на этапе загрузки в случае несанкционированной замены комплектующих (процессор, оперативная память, накопители HDD и SSD)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поддержка на уровне BIOS защиты информации, хранящейся на жестких дисках, паролем и сервис, позволяющий создавать уникальный мастер-пароль для жестких дисков на базе их идентификаторов</w:t>
                  </w:r>
                </w:p>
              </w:tc>
            </w:tr>
            <w:tr>
              <w:trPr>
                <w:trHeight w:val="33" w:hRule="atLeast"/>
              </w:trPr>
              <w:tc>
                <w:tcPr>
                  <w:tcW w:w="11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1.15</w:t>
                  </w:r>
                </w:p>
              </w:tc>
              <w:tc>
                <w:tcPr>
                  <w:tcW w:w="292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Аппаратно-программный комплекс доверенной загрузки (АПМДЗ)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Должен представлять собой аппаратно-программный комплекс</w:t>
                  </w:r>
                </w:p>
              </w:tc>
            </w:tr>
            <w:tr>
              <w:trPr>
                <w:trHeight w:val="79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Должен осуществлять: 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идентификацию и аутентификацию пользователей;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доверенную загрузку;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контроль целостности программной и аппаратной среды;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функции сторожевого таймера;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ведение журнала регистрации событий</w:t>
                  </w:r>
                </w:p>
              </w:tc>
            </w:tr>
            <w:tr>
              <w:trPr>
                <w:trHeight w:val="33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Требования к аппаратной части: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Возможность исполнения АПМДЗ на платах PCI-Express (Mini PCI-E Half, М.2 type 2230-A-E-D4);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возможность работы с идентификаторами следующих типов: iButton DS1992, 1993, 1994, 1995, 1996, eToken PRO, eToken PRO (Java), Rutoken, Rutoken RF, Rutoken ЭЦП, Rutoken Lite, JaCarta-2 ГОСТ, JaCarta-2 PKI/ГОСТ, JaCarta SF/ГОСТ, Смарт-карт: eToken PRO, eToken PRO (Java), JaCarta-2 ГОСТ, JaCarta-2 PKI/ГОСТ.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</w:r>
                </w:p>
              </w:tc>
              <w:tc>
                <w:tcPr>
                  <w:tcW w:w="2920" w:type="dxa"/>
                  <w:vMerge w:val="continue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Требования к функциональности: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идентификация пользователей (должна производиться по отчуждаемому персональному идентификатору, а аутентификация - по вводимому с клавиатуры паролю);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защита от несанкционированной загрузки нештатной операционной системы (ОС);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АПМДЗ должен иметь возможность контролировать целостность:</w:t>
                  </w:r>
                </w:p>
                <w:p>
                  <w:pPr>
                    <w:pStyle w:val="Normal"/>
                    <w:ind w:left="317" w:hanging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файлов и физических секторов жесткого диска;</w:t>
                  </w:r>
                </w:p>
                <w:p>
                  <w:pPr>
                    <w:pStyle w:val="Normal"/>
                    <w:ind w:left="317" w:hanging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элементов системного реестра;</w:t>
                  </w:r>
                </w:p>
                <w:p>
                  <w:pPr>
                    <w:pStyle w:val="Normal"/>
                    <w:ind w:left="317" w:hanging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- журнала транзакций NTFS и </w:t>
                  </w:r>
                  <w:r>
                    <w:rPr>
                      <w:sz w:val="18"/>
                      <w:szCs w:val="18"/>
                      <w:lang w:val="en-US"/>
                    </w:rPr>
                    <w:t>EXT</w:t>
                  </w:r>
                  <w:r>
                    <w:rPr>
                      <w:sz w:val="18"/>
                      <w:szCs w:val="18"/>
                    </w:rPr>
                    <w:t>4;</w:t>
                  </w:r>
                </w:p>
                <w:p>
                  <w:pPr>
                    <w:pStyle w:val="Normal"/>
                    <w:ind w:left="317" w:hanging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- </w:t>
                  </w:r>
                  <w:r>
                    <w:rPr>
                      <w:sz w:val="18"/>
                      <w:szCs w:val="18"/>
                      <w:lang w:val="en-US"/>
                    </w:rPr>
                    <w:t>PCI</w:t>
                  </w:r>
                  <w:r>
                    <w:rPr>
                      <w:sz w:val="18"/>
                      <w:szCs w:val="18"/>
                    </w:rPr>
                    <w:t>-устройств;</w:t>
                  </w:r>
                </w:p>
                <w:p>
                  <w:pPr>
                    <w:pStyle w:val="Normal"/>
                    <w:ind w:left="317" w:hanging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- структур </w:t>
                  </w:r>
                  <w:r>
                    <w:rPr>
                      <w:sz w:val="18"/>
                      <w:szCs w:val="18"/>
                      <w:lang w:val="en-US"/>
                    </w:rPr>
                    <w:t>SMBIOS</w:t>
                  </w:r>
                  <w:r>
                    <w:rPr>
                      <w:sz w:val="18"/>
                      <w:szCs w:val="18"/>
                    </w:rPr>
                    <w:t>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в комплекте поставки должны быть драйверы платы, которые должны функционировать в среде следующих ОС:</w:t>
                  </w:r>
                </w:p>
                <w:p>
                  <w:pPr>
                    <w:pStyle w:val="Normal"/>
                    <w:ind w:left="317" w:hanging="0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- Windows 8/10;</w:t>
                  </w:r>
                </w:p>
                <w:p>
                  <w:pPr>
                    <w:pStyle w:val="01"/>
                    <w:spacing w:before="0" w:after="0"/>
                    <w:jc w:val="left"/>
                    <w:rPr>
                      <w:rFonts w:ascii="Times New Roman" w:hAnsi="Times New Roman"/>
                      <w:sz w:val="18"/>
                      <w:szCs w:val="18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>Семейство</w:t>
                  </w:r>
                  <w:r>
                    <w:rPr>
                      <w:rFonts w:ascii="Times New Roman" w:hAnsi="Times New Roman"/>
                      <w:sz w:val="18"/>
                      <w:szCs w:val="18"/>
                      <w:u w:val="single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>ОС</w:t>
                  </w:r>
                  <w:r>
                    <w:rPr>
                      <w:rFonts w:ascii="Times New Roman" w:hAnsi="Times New Roman"/>
                      <w:sz w:val="18"/>
                      <w:szCs w:val="18"/>
                      <w:u w:val="single"/>
                      <w:lang w:val="en-US"/>
                    </w:rPr>
                    <w:t xml:space="preserve"> Linux:</w:t>
                  </w:r>
                </w:p>
                <w:p>
                  <w:pPr>
                    <w:pStyle w:val="Normal"/>
                    <w:ind w:left="317" w:hanging="0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• </w:t>
                  </w:r>
                  <w:r>
                    <w:rPr>
                      <w:sz w:val="18"/>
                      <w:szCs w:val="18"/>
                      <w:lang w:val="en-US"/>
                    </w:rPr>
                    <w:t>Astra Linux;</w:t>
                  </w:r>
                </w:p>
                <w:p>
                  <w:pPr>
                    <w:pStyle w:val="Normal"/>
                    <w:ind w:left="317" w:hanging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• </w:t>
                  </w:r>
                  <w:r>
                    <w:rPr>
                      <w:sz w:val="18"/>
                      <w:szCs w:val="18"/>
                    </w:rPr>
                    <w:t>Альт Линукс;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 этом должна обеспечиваться возможность получения случайных последовательностей с физического датчика случайных чисел платы АПМДЗ для ПО в ОС;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- поддержка файловых систем </w:t>
                  </w:r>
                  <w:r>
                    <w:rPr>
                      <w:sz w:val="18"/>
                      <w:szCs w:val="18"/>
                      <w:lang w:val="en-US"/>
                    </w:rPr>
                    <w:t>NTFS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  <w:lang w:val="en-US"/>
                    </w:rPr>
                    <w:t>FAT</w:t>
                  </w:r>
                  <w:r>
                    <w:rPr>
                      <w:sz w:val="18"/>
                      <w:szCs w:val="18"/>
                    </w:rPr>
                    <w:t xml:space="preserve">32, </w:t>
                  </w:r>
                  <w:r>
                    <w:rPr>
                      <w:sz w:val="18"/>
                      <w:szCs w:val="18"/>
                      <w:lang w:val="en-US"/>
                    </w:rPr>
                    <w:t>FAT</w:t>
                  </w:r>
                  <w:r>
                    <w:rPr>
                      <w:sz w:val="18"/>
                      <w:szCs w:val="18"/>
                    </w:rPr>
                    <w:t xml:space="preserve">16, </w:t>
                  </w:r>
                  <w:r>
                    <w:rPr>
                      <w:sz w:val="18"/>
                      <w:szCs w:val="18"/>
                      <w:lang w:val="en-US"/>
                    </w:rPr>
                    <w:t>EXT</w:t>
                  </w:r>
                  <w:r>
                    <w:rPr>
                      <w:sz w:val="18"/>
                      <w:szCs w:val="18"/>
                    </w:rPr>
                    <w:t xml:space="preserve">4, </w:t>
                  </w:r>
                  <w:r>
                    <w:rPr>
                      <w:sz w:val="18"/>
                      <w:szCs w:val="18"/>
                      <w:lang w:val="en-US"/>
                    </w:rPr>
                    <w:t>EXT</w:t>
                  </w:r>
                  <w:r>
                    <w:rPr>
                      <w:sz w:val="18"/>
                      <w:szCs w:val="18"/>
                    </w:rPr>
                    <w:t xml:space="preserve">3, </w:t>
                  </w:r>
                  <w:r>
                    <w:rPr>
                      <w:sz w:val="18"/>
                      <w:szCs w:val="18"/>
                      <w:lang w:val="en-US"/>
                    </w:rPr>
                    <w:t>EXT</w:t>
                  </w:r>
                  <w:r>
                    <w:rPr>
                      <w:sz w:val="18"/>
                      <w:szCs w:val="18"/>
                    </w:rPr>
                    <w:t>2;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- реализация функции сторожевого таймера посредством воздействия на механизм </w:t>
                  </w:r>
                  <w:r>
                    <w:rPr>
                      <w:sz w:val="18"/>
                      <w:szCs w:val="18"/>
                      <w:lang w:val="en-US"/>
                    </w:rPr>
                    <w:t>reset</w:t>
                  </w:r>
                  <w:r>
                    <w:rPr>
                      <w:sz w:val="18"/>
                      <w:szCs w:val="18"/>
                    </w:rPr>
                    <w:t xml:space="preserve"> и на питание ЭВМ;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функционирование журнала событий безопасности и его хранение в энергонезависимой памяти платы АПМДЗ с возможностью выгрузки в виде текстового файла;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- совместная работа с АПКШ «Континент», СЗИ Secret Net, СЗИ </w:t>
                  </w:r>
                  <w:r>
                    <w:rPr>
                      <w:sz w:val="18"/>
                      <w:szCs w:val="18"/>
                      <w:lang w:val="en-US"/>
                    </w:rPr>
                    <w:t>Secret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  <w:lang w:val="en-US"/>
                    </w:rPr>
                    <w:t>Net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  <w:lang w:val="en-US"/>
                    </w:rPr>
                    <w:t>Studio</w:t>
                  </w:r>
                  <w:r>
                    <w:rPr>
                      <w:sz w:val="18"/>
                      <w:szCs w:val="18"/>
                    </w:rPr>
                    <w:t>, СЗИ vGate-S R2, СЗИ vGate R2, СКЗИ «Континент-АП» и СКЗИ «КриптоПро CSP»;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возможность программной инициализации АПМДЗ (без вскрытия системного блока ЭВМ);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возможность предоставления прав загрузки операционной системы с внешних носителей администратору комплекса;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возможность генерации пароля пользователя или администратора при помощи встроенного двухканального аппаратного датчика случайных чисел.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АПМДЗ должен иметь в составе программируемую логическую интегральную схему для реализации защитных функций;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Требования по сертификации: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должен быть сертифицирован на соответствие требованиям ФСТЭК России «Профиль защиты средств доверенной загрузки уровня платы расширения второго класса защиты ИТ.СДЗ.ПР2.ПЗ» (ФСТЭК России, 2013), «Требования к средствам доверенной загрузки (ФСТЭК России, 2013);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- должна быть обеспечена возможность применения АПМДЗ в автоматизированных системах до класса защищенности 1Б включительно, государственных информационных системах до 1 класса защищенности включительно и информационных системах персональных данных до 1 уровня защищенности включительно.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1.16.</w:t>
                  </w:r>
                </w:p>
              </w:tc>
              <w:tc>
                <w:tcPr>
                  <w:tcW w:w="292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Условия эксплуатации поставляемого оборудования</w:t>
                  </w:r>
                </w:p>
                <w:p>
                  <w:pPr>
                    <w:pStyle w:val="Normal"/>
                    <w:spacing w:before="0" w:after="0"/>
                    <w:contextualSpacing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Температура хранения от +10 °С до +40 °С;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Влажность хранения от 20% до 80%;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Рабочая температура от +15 °С до +32 °С;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Рабочая влажность от 20% до 80%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Напряжение питания в сети – однофазное, переменное, от 200 В до 240 В, 50±2 Гц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</w:t>
                  </w:r>
                  <w:r>
                    <w:rPr>
                      <w:spacing w:val="-3"/>
                      <w:sz w:val="18"/>
                      <w:szCs w:val="18"/>
                      <w:lang w:val="en-US"/>
                    </w:rPr>
                    <w:t>.1</w:t>
                  </w:r>
                  <w:r>
                    <w:rPr>
                      <w:spacing w:val="-3"/>
                      <w:sz w:val="18"/>
                      <w:szCs w:val="18"/>
                    </w:rPr>
                    <w:t>7.</w:t>
                  </w:r>
                </w:p>
              </w:tc>
              <w:tc>
                <w:tcPr>
                  <w:tcW w:w="292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Срок гарантийного обслуживания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не менее 36 месяцев с выездом сервисного инженера на место установки оборудования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1.18.</w:t>
                  </w:r>
                </w:p>
              </w:tc>
              <w:tc>
                <w:tcPr>
                  <w:tcW w:w="292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Требования к сборке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spacing w:before="0" w:after="0"/>
                    <w:contextualSpacing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Оборудование должно быть заводской сборки с пломбами от производителя</w:t>
                  </w:r>
                </w:p>
              </w:tc>
            </w:tr>
            <w:tr>
              <w:trPr>
                <w:trHeight w:val="70" w:hRule="atLeast"/>
              </w:trPr>
              <w:tc>
                <w:tcPr>
                  <w:tcW w:w="113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1.19.</w:t>
                  </w:r>
                </w:p>
              </w:tc>
              <w:tc>
                <w:tcPr>
                  <w:tcW w:w="292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  <w:vAlign w:val="center"/>
                </w:tcPr>
                <w:p>
                  <w:pPr>
                    <w:pStyle w:val="Normal"/>
                    <w:spacing w:before="0" w:after="0"/>
                    <w:contextualSpacing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Требования к комплекту поставки АПМДЗ</w:t>
                  </w:r>
                </w:p>
              </w:tc>
              <w:tc>
                <w:tcPr>
                  <w:tcW w:w="47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  <w:insideH w:val="single" w:sz="4" w:space="0" w:color="00000A"/>
                    <w:insideV w:val="single" w:sz="4" w:space="0" w:color="00000A"/>
                  </w:tcBorders>
                  <w:shd w:color="auto" w:fill="auto" w:val="clear"/>
                  <w:tcMar>
                    <w:left w:w="103" w:type="dxa"/>
                  </w:tcMar>
                </w:tcPr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Диск с ПО и документацией АПМДЗ - 1 шт.;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Паспорт в печатном виде – 1 шт.;</w:t>
                  </w:r>
                </w:p>
                <w:p>
                  <w:pPr>
                    <w:pStyle w:val="Normal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Идентификаторы - 2 шт.</w:t>
                  </w:r>
                </w:p>
              </w:tc>
            </w:tr>
          </w:tbl>
          <w:p>
            <w:pPr>
              <w:pStyle w:val="NoSpacing"/>
              <w:widowControl/>
              <w:spacing w:before="0" w:after="0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1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"/>
                <w:color w:val="00000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"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</w:tbl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spacing w:lineRule="auto" w:line="360"/>
        <w:rPr>
          <w:b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Заместитель руководителя отдела</w:t>
      </w:r>
      <w:r>
        <w:rPr>
          <w:b/>
          <w:sz w:val="18"/>
          <w:szCs w:val="18"/>
        </w:rPr>
        <w:t xml:space="preserve"> ________________________________ Зули Ханова </w:t>
      </w:r>
    </w:p>
    <w:p>
      <w:pPr>
        <w:pStyle w:val="Normal"/>
        <w:rPr>
          <w:sz w:val="12"/>
          <w:szCs w:val="12"/>
        </w:rPr>
      </w:pPr>
      <w:r>
        <w:rPr>
          <w:b/>
          <w:sz w:val="18"/>
          <w:szCs w:val="18"/>
        </w:rPr>
        <w:tab/>
        <w:tab/>
        <w:tab/>
        <w:tab/>
      </w:r>
      <w:r>
        <w:rPr>
          <w:b/>
          <w:sz w:val="12"/>
          <w:szCs w:val="12"/>
        </w:rPr>
        <w:t xml:space="preserve">                              </w:t>
      </w:r>
      <w:r>
        <w:rPr>
          <w:sz w:val="12"/>
          <w:szCs w:val="12"/>
        </w:rPr>
        <w:t xml:space="preserve"> (подпись)</w:t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219" w:right="1100" w:header="0" w:top="568" w:footer="0" w:bottom="709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2e5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Без интервала Знак"/>
    <w:basedOn w:val="DefaultParagraphFont"/>
    <w:link w:val="a6"/>
    <w:uiPriority w:val="1"/>
    <w:qFormat/>
    <w:locked/>
    <w:rsid w:val="00402e5a"/>
    <w:rPr>
      <w:rFonts w:ascii="Arial" w:hAnsi="Arial" w:eastAsia="Arial Unicode MS" w:cs="Mangal"/>
      <w:szCs w:val="24"/>
      <w:lang w:eastAsia="zh-CN" w:bidi="hi-IN"/>
    </w:rPr>
  </w:style>
  <w:style w:type="character" w:styleId="Style15" w:customStyle="1">
    <w:name w:val="Абзац списка Знак"/>
    <w:link w:val="a3"/>
    <w:uiPriority w:val="34"/>
    <w:qFormat/>
    <w:locked/>
    <w:rsid w:val="00402e5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0" w:customStyle="1">
    <w:name w:val="_Табл_Текст0 внутри Знак"/>
    <w:link w:val="0"/>
    <w:qFormat/>
    <w:rsid w:val="00402e5a"/>
    <w:rPr>
      <w:rFonts w:ascii="Arial" w:hAnsi="Arial" w:eastAsia="Times New Roman" w:cs="Times New Roman"/>
      <w:sz w:val="24"/>
      <w:szCs w:val="24"/>
      <w:lang w:eastAsia="ru-RU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link w:val="a4"/>
    <w:uiPriority w:val="34"/>
    <w:qFormat/>
    <w:rsid w:val="00402e5a"/>
    <w:pPr>
      <w:spacing w:before="120" w:after="0"/>
      <w:ind w:left="720" w:hanging="0"/>
      <w:contextualSpacing/>
      <w:jc w:val="both"/>
    </w:pPr>
    <w:rPr/>
  </w:style>
  <w:style w:type="paragraph" w:styleId="NoSpacing">
    <w:name w:val="No Spacing"/>
    <w:link w:val="a7"/>
    <w:uiPriority w:val="1"/>
    <w:qFormat/>
    <w:rsid w:val="00402e5a"/>
    <w:pPr>
      <w:widowControl w:val="false"/>
      <w:bidi w:val="0"/>
      <w:spacing w:lineRule="auto" w:line="240" w:before="0" w:after="0"/>
      <w:jc w:val="left"/>
    </w:pPr>
    <w:rPr>
      <w:rFonts w:ascii="Arial" w:hAnsi="Arial" w:eastAsia="Arial Unicode MS" w:cs="Mangal"/>
      <w:color w:val="auto"/>
      <w:sz w:val="24"/>
      <w:szCs w:val="24"/>
      <w:lang w:eastAsia="zh-CN" w:bidi="hi-IN" w:val="ru-RU"/>
    </w:rPr>
  </w:style>
  <w:style w:type="paragraph" w:styleId="01" w:customStyle="1">
    <w:name w:val="_Табл_Текст0 внутри"/>
    <w:link w:val="00"/>
    <w:qFormat/>
    <w:rsid w:val="00402e5a"/>
    <w:pPr>
      <w:widowControl/>
      <w:bidi w:val="0"/>
      <w:spacing w:lineRule="auto" w:line="240" w:before="0" w:after="120"/>
      <w:jc w:val="both"/>
    </w:pPr>
    <w:rPr>
      <w:rFonts w:ascii="Arial" w:hAnsi="Arial" w:eastAsia="Times New Roman" w:cs="Times New Roman"/>
      <w:color w:val="auto"/>
      <w:sz w:val="24"/>
      <w:szCs w:val="24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402e5a"/>
    <w:pPr>
      <w:spacing w:after="0" w:line="240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LibreOffice/5.1.6.2$Linux_X86_64 LibreOffice_project/10m0$Build-2</Application>
  <Pages>4</Pages>
  <Words>981</Words>
  <Characters>6370</Characters>
  <CharactersWithSpaces>7251</CharactersWithSpaces>
  <Paragraphs>157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2019-07-02T08:12:00Z</dcterms:created>
  <dc:creator>Зайнаб</dc:creator>
  <dc:description/>
  <dc:language>ru-RU</dc:language>
  <cp:lastModifiedBy/>
  <dcterms:modified xsi:type="dcterms:W3CDTF">2019-07-02T20:50:32Z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