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C2" w:rsidRPr="008A176C" w:rsidRDefault="002E05C2" w:rsidP="002E05C2">
      <w:pPr>
        <w:suppressAutoHyphens/>
        <w:spacing w:before="0"/>
        <w:jc w:val="center"/>
        <w:rPr>
          <w:b/>
          <w:sz w:val="22"/>
          <w:szCs w:val="22"/>
        </w:rPr>
      </w:pPr>
      <w:r w:rsidRPr="008A176C">
        <w:rPr>
          <w:b/>
          <w:sz w:val="22"/>
          <w:szCs w:val="22"/>
        </w:rPr>
        <w:t>ТЕХНИЧЕСКОЕ ЗАДАНИЕ</w:t>
      </w:r>
    </w:p>
    <w:p w:rsidR="002E05C2" w:rsidRDefault="002E05C2" w:rsidP="002E05C2">
      <w:pPr>
        <w:suppressAutoHyphens/>
        <w:spacing w:before="0"/>
        <w:jc w:val="center"/>
        <w:rPr>
          <w:b/>
          <w:sz w:val="22"/>
          <w:szCs w:val="22"/>
        </w:rPr>
      </w:pPr>
      <w:r w:rsidRPr="008A176C">
        <w:rPr>
          <w:b/>
          <w:sz w:val="22"/>
          <w:szCs w:val="22"/>
        </w:rPr>
        <w:t xml:space="preserve">на поставку </w:t>
      </w:r>
      <w:r w:rsidRPr="00944911">
        <w:rPr>
          <w:b/>
          <w:sz w:val="22"/>
          <w:szCs w:val="22"/>
        </w:rPr>
        <w:t>коммутационного оборудования</w:t>
      </w:r>
    </w:p>
    <w:p w:rsidR="002E05C2" w:rsidRDefault="002E05C2" w:rsidP="002E05C2">
      <w:pPr>
        <w:suppressAutoHyphens/>
        <w:spacing w:before="0"/>
        <w:jc w:val="center"/>
        <w:rPr>
          <w:b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655"/>
        <w:gridCol w:w="1596"/>
        <w:gridCol w:w="5957"/>
        <w:gridCol w:w="691"/>
        <w:gridCol w:w="672"/>
      </w:tblGrid>
      <w:tr w:rsidR="002E05C2" w:rsidRPr="005D100A" w:rsidTr="002538DA">
        <w:trPr>
          <w:trHeight w:val="50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F4825">
              <w:rPr>
                <w:b/>
                <w:bCs/>
                <w:sz w:val="20"/>
                <w:szCs w:val="20"/>
              </w:rPr>
              <w:t>№</w:t>
            </w:r>
          </w:p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F4825">
              <w:rPr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F4825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F4825">
              <w:rPr>
                <w:b/>
                <w:bCs/>
                <w:sz w:val="20"/>
                <w:szCs w:val="20"/>
              </w:rPr>
              <w:t>Требования к функциональным характеристикам (потребительским свойствам)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F4825">
              <w:rPr>
                <w:b/>
                <w:bCs/>
                <w:sz w:val="20"/>
                <w:szCs w:val="20"/>
              </w:rPr>
              <w:t>Ед.</w:t>
            </w:r>
          </w:p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F4825">
              <w:rPr>
                <w:b/>
                <w:bCs/>
                <w:sz w:val="20"/>
                <w:szCs w:val="20"/>
              </w:rPr>
              <w:t>изм</w:t>
            </w:r>
            <w:proofErr w:type="spellEnd"/>
            <w:r w:rsidRPr="00DF482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5C2" w:rsidRPr="00DF4825" w:rsidRDefault="002E05C2" w:rsidP="002538DA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F4825">
              <w:rPr>
                <w:b/>
                <w:bCs/>
                <w:sz w:val="20"/>
                <w:szCs w:val="20"/>
              </w:rPr>
              <w:t>Кол-во</w:t>
            </w:r>
          </w:p>
        </w:tc>
      </w:tr>
      <w:tr w:rsidR="002E05C2" w:rsidRPr="005D100A" w:rsidTr="002538DA">
        <w:trPr>
          <w:trHeight w:val="25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5C2" w:rsidRPr="005D100A" w:rsidRDefault="002E05C2" w:rsidP="002E05C2">
            <w:pPr>
              <w:numPr>
                <w:ilvl w:val="0"/>
                <w:numId w:val="1"/>
              </w:numPr>
              <w:spacing w:before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C2" w:rsidRPr="005D100A" w:rsidRDefault="002E05C2" w:rsidP="002538DA">
            <w:pPr>
              <w:spacing w:before="0" w:line="276" w:lineRule="auto"/>
              <w:jc w:val="left"/>
              <w:rPr>
                <w:bCs/>
                <w:sz w:val="22"/>
                <w:szCs w:val="22"/>
              </w:rPr>
            </w:pPr>
            <w:r w:rsidRPr="005D100A">
              <w:rPr>
                <w:bCs/>
                <w:sz w:val="22"/>
                <w:szCs w:val="22"/>
              </w:rPr>
              <w:t>Сетевой коммутатор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Наличие не менее 48 портов 25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Gigabit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Ethernet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для установки трансиверов форм-фактора SFP28 с поддержкой максимальной скорости передачи данных не менее 25 Гбит/</w:t>
            </w:r>
            <w:proofErr w:type="gramStart"/>
            <w:r w:rsidRPr="005D100A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Наличие не менее 8 портов 100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Gigabit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Ethernet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для установки трансиверов форм-фактора QSFP28 с поддержкой максимальной скорости передачи данных не менее 100 Гбит/</w:t>
            </w:r>
            <w:proofErr w:type="gramStart"/>
            <w:r w:rsidRPr="005D100A">
              <w:rPr>
                <w:sz w:val="22"/>
                <w:szCs w:val="22"/>
                <w:lang w:eastAsia="en-US"/>
              </w:rPr>
              <w:t>с</w:t>
            </w:r>
            <w:proofErr w:type="gramEnd"/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Пропускная способность коммутационной матрицы коммутатора должна быть не менее 4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Тбит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c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Производительность коммутатора должна быть не менее 2000 миллионов пакетов в секунду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Размер таблицы MAC-адресов коммутатора должен быть не менее 288 000 записей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Размер таблицы ARP-записей должен быть  не менее 168 000 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передачу сверхдлинных кадров (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Jumbo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frames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>) , максимальный размер пакета должен быть не менее 10 000 байт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не менее 2 000 списков контроля доступа (ACL) для исходящего трафика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Максимальное количество одновременно </w:t>
            </w:r>
            <w:proofErr w:type="gramStart"/>
            <w:r w:rsidRPr="005D100A">
              <w:rPr>
                <w:sz w:val="22"/>
                <w:szCs w:val="22"/>
                <w:lang w:eastAsia="en-US"/>
              </w:rPr>
              <w:t>поддерживаемых</w:t>
            </w:r>
            <w:proofErr w:type="gramEnd"/>
            <w:r w:rsidRPr="005D100A">
              <w:rPr>
                <w:sz w:val="22"/>
                <w:szCs w:val="22"/>
                <w:lang w:eastAsia="en-US"/>
              </w:rPr>
              <w:t xml:space="preserve"> VLAN – не менее 4 000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Максимальное количество IPv4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Unicast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маршрутов в FIB должно составлять не менее 380000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Максимальное количество IPv6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Unicast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маршрутов в FIB должно составлять не менее 256000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Должна поддерживаться возможность объединения коммутаторов в стек с максимальным количеством устрой</w:t>
            </w:r>
            <w:proofErr w:type="gramStart"/>
            <w:r w:rsidRPr="005D100A">
              <w:rPr>
                <w:sz w:val="22"/>
                <w:szCs w:val="22"/>
                <w:lang w:eastAsia="en-US"/>
              </w:rPr>
              <w:t>ств в ст</w:t>
            </w:r>
            <w:proofErr w:type="gramEnd"/>
            <w:r w:rsidRPr="005D100A">
              <w:rPr>
                <w:sz w:val="22"/>
                <w:szCs w:val="22"/>
                <w:lang w:eastAsia="en-US"/>
              </w:rPr>
              <w:t>еке не менее 8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формирование VLAN на основе портов,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МАС-адресов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>, IP-подсетей, политик (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policy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based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VLAN)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технологии виртуализации сети: VXLAN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routing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bridging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, BGP-EVPN; VXLAN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mapping</w:t>
            </w:r>
            <w:proofErr w:type="spellEnd"/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протокол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Spanning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Tree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следующих спецификаций: IEEE 802.1d, IEEE 802.1s (RSTP), IEEE 802.1w (MSTP)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не менее восьми выходных очередей на порт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протокол FCOE. Наличие лицензии </w:t>
            </w:r>
            <w:proofErr w:type="gramStart"/>
            <w:r w:rsidRPr="005D100A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5D100A">
              <w:rPr>
                <w:sz w:val="22"/>
                <w:szCs w:val="22"/>
                <w:lang w:eastAsia="en-US"/>
              </w:rPr>
              <w:t xml:space="preserve"> не менее 12 портов FCOE FCF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следующие алгоритмы организации очередей обслуживания трафика: </w:t>
            </w:r>
            <w:r w:rsidRPr="005D100A">
              <w:rPr>
                <w:sz w:val="22"/>
                <w:szCs w:val="22"/>
                <w:lang w:eastAsia="en-US"/>
              </w:rPr>
              <w:lastRenderedPageBreak/>
              <w:t>PQ,WRR,DRR,PQ+WRR,PQ+DRR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алгоритмы предотвращения перегрузки трафиком, в частности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Tail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Drop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Weighted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Random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Early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Detection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(WRED)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Наличие возможности ограничения пропускной способности на входящих интерфейсах и на исходящих интерфейсах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протоколы динамической маршрутизации IPv4: RIP,OSPF,BGP,IS-IS;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протоколы динамической маршрутизации IPv6: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RIPng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>, OSPFv3, IS-ISv6, BGP4+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протоколы управления групповой (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multicast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) передачей данных: IGMP v1-v3,PIM-SM,PIM-DM,MSDP, IGMP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Snooping</w:t>
            </w:r>
            <w:proofErr w:type="spellEnd"/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протоколы управления конвергенцией сети: DCBX, PFC, ETS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возможность выравнивания скорости передачи исходящего трафика за счет буферизации;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поддерживать протокол IEEE 802.1x с динамическим назначением виртуальной сети VLAN;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Возможность изоляции трафика между портами, находящимися в одной и той же виртуальной сети VLAN ID;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Высота, занимаемая в стойке, не более 1U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Коммутатор должен поддерживать возможность управления через WEB-интерфейс, протоколы: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Telnet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>, SSH, SNMP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Максимальная потребляемая мощность коммутатора  не более 350 Ватт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Направление воздушного потока коммутатора должно быть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Front-to-back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, выдув воздуха со стороны портов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>Коммутатор должен иметь в своем составе не менее двух блоков питания от электрической сети переменного тока с напряжением 220</w:t>
            </w:r>
            <w:proofErr w:type="gramStart"/>
            <w:r w:rsidRPr="005D100A">
              <w:rPr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5D100A">
              <w:rPr>
                <w:sz w:val="22"/>
                <w:szCs w:val="22"/>
                <w:lang w:eastAsia="en-US"/>
              </w:rPr>
              <w:t>, с возможностью горячей замены.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Оптический трансивер SFP-10G-iLR форм-фактора SFP+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Single-mode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Module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(1310nm,1.4km,LC)  не менее 2 шт. </w:t>
            </w:r>
          </w:p>
          <w:p w:rsidR="002E05C2" w:rsidRPr="005D100A" w:rsidRDefault="002E05C2" w:rsidP="002538DA">
            <w:pPr>
              <w:spacing w:before="0" w:line="276" w:lineRule="auto"/>
              <w:rPr>
                <w:sz w:val="22"/>
                <w:szCs w:val="22"/>
                <w:lang w:eastAsia="en-US"/>
              </w:rPr>
            </w:pPr>
            <w:r w:rsidRPr="005D100A">
              <w:rPr>
                <w:sz w:val="22"/>
                <w:szCs w:val="22"/>
                <w:lang w:eastAsia="en-US"/>
              </w:rPr>
              <w:t>•</w:t>
            </w:r>
            <w:r w:rsidRPr="005D100A">
              <w:rPr>
                <w:sz w:val="22"/>
                <w:szCs w:val="22"/>
                <w:lang w:eastAsia="en-US"/>
              </w:rPr>
              <w:tab/>
              <w:t xml:space="preserve">Активный оптический кабель 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Active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Optical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100A">
              <w:rPr>
                <w:sz w:val="22"/>
                <w:szCs w:val="22"/>
                <w:lang w:eastAsia="en-US"/>
              </w:rPr>
              <w:t>Cable</w:t>
            </w:r>
            <w:proofErr w:type="spellEnd"/>
            <w:r w:rsidRPr="005D100A">
              <w:rPr>
                <w:sz w:val="22"/>
                <w:szCs w:val="22"/>
                <w:lang w:eastAsia="en-US"/>
              </w:rPr>
              <w:t xml:space="preserve">, SFP28,25G,(850nm,10m,AOC) не менее 8 шт. 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5C2" w:rsidRPr="005D100A" w:rsidRDefault="002E05C2" w:rsidP="002538DA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5D100A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05C2" w:rsidRPr="005D100A" w:rsidRDefault="002E05C2" w:rsidP="002538DA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5D100A">
              <w:rPr>
                <w:sz w:val="22"/>
                <w:szCs w:val="22"/>
              </w:rPr>
              <w:t>2</w:t>
            </w:r>
          </w:p>
        </w:tc>
      </w:tr>
    </w:tbl>
    <w:p w:rsidR="002E05C2" w:rsidRPr="005D100A" w:rsidRDefault="002E05C2" w:rsidP="002E05C2">
      <w:pPr>
        <w:widowControl w:val="0"/>
        <w:suppressAutoHyphens/>
        <w:spacing w:before="0" w:line="276" w:lineRule="auto"/>
        <w:rPr>
          <w:b/>
          <w:sz w:val="22"/>
          <w:szCs w:val="22"/>
          <w:lang w:eastAsia="ar-SA"/>
        </w:rPr>
      </w:pPr>
    </w:p>
    <w:p w:rsidR="002E05C2" w:rsidRPr="005D100A" w:rsidRDefault="002E05C2" w:rsidP="002E05C2">
      <w:pPr>
        <w:spacing w:before="0" w:line="276" w:lineRule="auto"/>
        <w:ind w:firstLine="709"/>
        <w:rPr>
          <w:sz w:val="22"/>
          <w:szCs w:val="22"/>
        </w:rPr>
      </w:pPr>
      <w:r w:rsidRPr="005D100A">
        <w:rPr>
          <w:sz w:val="22"/>
          <w:szCs w:val="22"/>
        </w:rPr>
        <w:t>Каждая единица оборудования должна поставляться с комплектом технической документации и руководством пользователя. Все необходимые руководства пользователя должны быть на русском языке. Техническая документация должна быть на русском языке. Во всех случаях недопустимо предоставление технической документации и руководств пользователя в виде светокопий.</w:t>
      </w:r>
    </w:p>
    <w:p w:rsidR="002E05C2" w:rsidRPr="005D100A" w:rsidRDefault="002E05C2" w:rsidP="002E05C2">
      <w:pPr>
        <w:spacing w:before="0" w:line="276" w:lineRule="auto"/>
        <w:ind w:firstLine="709"/>
        <w:rPr>
          <w:sz w:val="22"/>
          <w:szCs w:val="22"/>
        </w:rPr>
      </w:pPr>
      <w:r w:rsidRPr="005D100A">
        <w:rPr>
          <w:sz w:val="22"/>
          <w:szCs w:val="22"/>
        </w:rPr>
        <w:lastRenderedPageBreak/>
        <w:t xml:space="preserve">В составе документов необходимо представить информацию (марка и номер модели), позволяющую однозначно определить предлагаемую к поставке модель оборудования. Гарантия на оборудование не менее 12 месяцев с момента </w:t>
      </w:r>
      <w:r>
        <w:rPr>
          <w:sz w:val="22"/>
          <w:szCs w:val="22"/>
        </w:rPr>
        <w:t>подписания товарной накладной</w:t>
      </w:r>
      <w:r w:rsidRPr="005D100A">
        <w:rPr>
          <w:sz w:val="22"/>
          <w:szCs w:val="22"/>
        </w:rPr>
        <w:t>.</w:t>
      </w:r>
    </w:p>
    <w:p w:rsidR="002E05C2" w:rsidRPr="005D100A" w:rsidRDefault="002E05C2" w:rsidP="002E05C2">
      <w:pPr>
        <w:spacing w:before="0" w:line="276" w:lineRule="auto"/>
        <w:ind w:firstLine="708"/>
        <w:rPr>
          <w:sz w:val="22"/>
          <w:szCs w:val="22"/>
        </w:rPr>
      </w:pPr>
      <w:r w:rsidRPr="005D100A">
        <w:rPr>
          <w:sz w:val="22"/>
          <w:szCs w:val="22"/>
        </w:rPr>
        <w:t>В случае</w:t>
      </w:r>
      <w:proofErr w:type="gramStart"/>
      <w:r w:rsidRPr="005D100A">
        <w:rPr>
          <w:sz w:val="22"/>
          <w:szCs w:val="22"/>
        </w:rPr>
        <w:t>,</w:t>
      </w:r>
      <w:proofErr w:type="gramEnd"/>
      <w:r w:rsidRPr="005D100A">
        <w:rPr>
          <w:sz w:val="22"/>
          <w:szCs w:val="22"/>
        </w:rPr>
        <w:t xml:space="preserve"> если в техническом задании содержится указание на товарные знаки в отношении Товаров, поставка которых является предметом Контракта, применительно к таким товарным знакам следует считать «или эквивалент».</w:t>
      </w:r>
    </w:p>
    <w:p w:rsidR="002E05C2" w:rsidRDefault="002E05C2"/>
    <w:sectPr w:rsidR="002E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6FFB"/>
    <w:multiLevelType w:val="hybridMultilevel"/>
    <w:tmpl w:val="700E6298"/>
    <w:lvl w:ilvl="0" w:tplc="E8324CC4">
      <w:start w:val="1"/>
      <w:numFmt w:val="decimal"/>
      <w:suff w:val="nothing"/>
      <w:lvlText w:val="%1."/>
      <w:lvlJc w:val="left"/>
      <w:pPr>
        <w:ind w:left="851" w:hanging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05C2"/>
    <w:rsid w:val="002E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2019-07-23T11:50:00Z</dcterms:created>
  <dcterms:modified xsi:type="dcterms:W3CDTF">2019-07-23T11:51:00Z</dcterms:modified>
</cp:coreProperties>
</file>