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</w:p>
    <w:p>
      <w:pPr>
        <w:pStyle w:val="Normal"/>
        <w:ind w:firstLine="709"/>
        <w:rPr/>
      </w:pPr>
      <w:r>
        <w:rPr/>
        <w:t>на выполнение инженерных изысканий, разработку проектной документации и рабочей документации по объекту «Строительство амбулаторно-поликлинического корпуса клинической больницы в городе Ростов-на-Дону»</w:t>
      </w:r>
    </w:p>
    <w:tbl>
      <w:tblPr>
        <w:tblW w:w="10349" w:type="dxa"/>
        <w:jc w:val="left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977"/>
        <w:gridCol w:w="7371"/>
      </w:tblGrid>
      <w:tr>
        <w:trPr>
          <w:trHeight w:val="643" w:hRule="atLeast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3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Перечень основных данных и требований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2"/>
              <w:spacing w:before="0" w:after="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sz w:val="24"/>
                <w:szCs w:val="24"/>
              </w:rPr>
              <w:t>Основные данные и требования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Вид строительства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Новое строительство.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Заказчик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Проектная организация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Стадийность проектирования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Проектная и рабочая документация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Уровень ответственности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  <w:t>II (</w:t>
            </w:r>
            <w:r>
              <w:rPr/>
              <w:t>нормальный</w:t>
            </w:r>
            <w:r>
              <w:rPr>
                <w:lang w:val="en-US"/>
              </w:rPr>
              <w:t>)</w:t>
            </w:r>
          </w:p>
          <w:p>
            <w:pPr>
              <w:pStyle w:val="Normal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Сроки проектирования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Срок выполнения работ – 9 месяцев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Основные технико-экономические </w:t>
              <w:br/>
              <w:t>показатели объекта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1.Мощность объекта – 500 посещений в смену;</w:t>
            </w:r>
          </w:p>
          <w:p>
            <w:pPr>
              <w:pStyle w:val="Normal"/>
              <w:jc w:val="both"/>
              <w:rPr/>
            </w:pPr>
            <w:r>
              <w:rPr/>
              <w:t>2.Этажность – 2-5 этажей;</w:t>
            </w:r>
          </w:p>
          <w:p>
            <w:pPr>
              <w:pStyle w:val="Normal"/>
              <w:jc w:val="both"/>
              <w:rPr/>
            </w:pPr>
            <w:r>
              <w:rPr/>
              <w:t>3.Площадь участка – 0,81 га;</w:t>
            </w:r>
          </w:p>
          <w:p>
            <w:pPr>
              <w:pStyle w:val="Normal"/>
              <w:jc w:val="both"/>
              <w:rPr/>
            </w:pPr>
            <w:r>
              <w:rPr/>
              <w:t>4.Площадь застройки – ориентировочно 1620 - 3240 м</w:t>
            </w:r>
            <w:r>
              <w:rPr>
                <w:vertAlign w:val="superscript"/>
              </w:rPr>
              <w:t>2</w:t>
            </w:r>
            <w:r>
              <w:rPr/>
              <w:t>;</w:t>
            </w:r>
          </w:p>
          <w:p>
            <w:pPr>
              <w:pStyle w:val="Normal"/>
              <w:jc w:val="both"/>
              <w:rPr/>
            </w:pPr>
            <w:r>
              <w:rPr/>
              <w:t>5.Общая площадь здания – ориентировочно 4800 - 6000 м</w:t>
            </w:r>
            <w:r>
              <w:rPr>
                <w:vertAlign w:val="superscript"/>
              </w:rPr>
              <w:t>2</w:t>
            </w:r>
            <w:r>
              <w:rPr/>
              <w:t>.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>Технико-экономические показатели уточнить при проектировании.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Особые условия строительства.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Просадочные грунты (уточнить при выполнении инженерно-геологических изысканий)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Указания о необходимости выполнения инженерных изысканий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 Выполнить инженерные изыскания в полном объеме, необходимом для выполнения проектных работ в соответствии с данным заданием, в соответствии с постановлением Правительства Российской Федерации от 26 декабря 2014 года N 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</w:t>
              <w:br/>
              <w:t>о безопасности зданий и сооружений", в т.ч.: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- инженерно-геодезические изыскания: </w:t>
            </w:r>
          </w:p>
          <w:p>
            <w:pPr>
              <w:pStyle w:val="Normal"/>
              <w:jc w:val="both"/>
              <w:rPr/>
            </w:pPr>
            <w:r>
              <w:rPr/>
              <w:t>на земельном участке площадью не менее 0,9 га: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комплекс работ по обновлению инженерно-топографических планов (съемка текущих изменений), в т.ч. выполнить следующие работы: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составить программу изысканий;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провести рекогносцировку участка;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создать планово-высотную съемочную сеть с закреплением точек сети и привязкой ее к исходным пунктам;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составить схему сети и вычислить координаты и высоты точек съемочной сети;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подготовить планшеты и выполнить работы по сгущению точек съемочной сети с детальной сьемкой элементов ситуации и рельефа;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закоординировать углы кварталов и отдельных капитальных зданий и сооружений; 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нивелирование и съемку выходов подземных коммуникаций и оснований надземных сооружений;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составить инженерно-топографические планы в масштабе 1:500 (без нанесения подземных коммуникаций); 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съемку подземных коммуникаций с помощью приборов поиска (трубокабелеискателя) и составление плана подземных коммуникаций;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подготовить и выпустить необходимые отчетные материалы;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предусмотреть расходы по внутреннему транспорту </w:t>
              <w:br/>
              <w:t xml:space="preserve">с расстоянием до 5 км; 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организацию и ликвидацию работ;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нанести на инженерно-топографические планы трассы коммуникаций по данным полевых работ;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выявить принадлежности обнаруженных неучтенных прокладок;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составить пояснительные надписи (высот подземных коммуникаций, диаметра и материала труб, количества </w:t>
              <w:br/>
              <w:t xml:space="preserve">и напряжения кабельных линий, количества каналов </w:t>
              <w:br/>
              <w:t>и их сечения);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заполнить формуляр;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вычертить на плане подземные и надземные сооружения;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нанести на план все пояснительные надписи;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выполнить окончательную корректировку плана </w:t>
              <w:br/>
              <w:t xml:space="preserve">и оформление материалов;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выполнить камеральные и картографические работы </w:t>
              <w:br/>
              <w:t>с применением компьютерных технологий с составлением планов в двух видах: на электронном и бумажном носителях;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получить на топографических планах отметку Департамента архитектуры и градостроительства города Ростова-на-Дону на бумажном носителе о принятии материалов инженерно-геодезических изысканий в ИСОГД.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Инженерно-геодезические изыскания проводятся </w:t>
              <w:br/>
              <w:t>на застроенной территории города.</w:t>
            </w:r>
          </w:p>
          <w:p>
            <w:pPr>
              <w:pStyle w:val="Normal"/>
              <w:jc w:val="both"/>
              <w:rPr/>
            </w:pPr>
            <w:r>
              <w:rPr/>
              <w:t>- составить технический отчет по инженерно-геодезическим изысканиям.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- инженерно-геологические изыскания: </w:t>
            </w:r>
          </w:p>
          <w:p>
            <w:pPr>
              <w:pStyle w:val="Normal"/>
              <w:jc w:val="both"/>
              <w:rPr/>
            </w:pPr>
            <w:r>
              <w:rPr/>
              <w:t>•</w:t>
            </w:r>
            <w:r>
              <w:rPr/>
              <w:tab/>
              <w:t xml:space="preserve">Полевые работы: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осмотреть участки изысканий, прилегающую территорию, визуально оценить рельеф, выполнить комплекс изысканий                      (бурение не менее 20 скважин диаметром от 127 до 168 мм, глубиной не менее 9 м, плановую и высотную привязку скважин, крепление скважин, осуществлять наблюдения, вести полевые записи. При полевых работах предусмотреть гидрогеологические наблюдения, отбор монолитов с глубины до 9 м - 80 монолитов. </w:t>
            </w:r>
          </w:p>
          <w:p>
            <w:pPr>
              <w:pStyle w:val="Normal"/>
              <w:jc w:val="both"/>
              <w:rPr/>
            </w:pPr>
            <w:r>
              <w:rPr/>
              <w:t>•</w:t>
            </w:r>
            <w:r>
              <w:rPr/>
              <w:tab/>
              <w:t xml:space="preserve">Камеральные работы: 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предварительное ознакомление по карте с районом работ, выбрать направление маршрутов, обработать                                    и систематизировать записи в полевых дневниках, систематизировать опросные сведения, составить каталог точек обследований и схематической карты обследованной территории в оптимальном масштабе, оформить материалы, составить технический отчет (заключение), включая табличные и графические приложения к текстовой части.</w:t>
            </w:r>
          </w:p>
          <w:p>
            <w:pPr>
              <w:pStyle w:val="Normal"/>
              <w:jc w:val="both"/>
              <w:rPr/>
            </w:pPr>
            <w:r>
              <w:rPr/>
              <w:t>- провести камеральные работы по обработке материалов буровых и горнопроходческих работ – не менее 180 м, составить программу производства работ, выполнить обработку данных лабораторных исследований, составить инженерно-геологический отчет.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Технический отчет должен содержать: анализ материалов изысканий, увязку материалов комплекса работ (маршрутного обследования, буровых, полевых опытных, лабораторных работ и др.), выделение инженерно-геологических элементов, с их характеристикой, составление сводных карт и разрезов, составление качественного прогноза изменений инженерно-геологических условий и рекомендаций по их учету при выполнении строительно-монтажных работ на данном участке. </w:t>
            </w:r>
          </w:p>
          <w:p>
            <w:pPr>
              <w:pStyle w:val="Normal"/>
              <w:jc w:val="both"/>
              <w:rPr/>
            </w:pPr>
            <w:r>
              <w:rPr/>
              <w:t>•</w:t>
            </w:r>
            <w:r>
              <w:rPr/>
              <w:tab/>
              <w:t xml:space="preserve">Лабораторные работы: </w:t>
            </w:r>
          </w:p>
          <w:p>
            <w:pPr>
              <w:pStyle w:val="Normal"/>
              <w:jc w:val="both"/>
              <w:rPr/>
            </w:pPr>
            <w:r>
              <w:rPr/>
              <w:t>При проведении лабораторных работ произвести исследования физико-механических свойств глинистых грунтов, химического состава грунтов (почв), произвести исследования химического состава воды, в т.ч: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сокращенный комплекс физико-механических свойств глинистых грунтов на срез (консолидированный и неконсолидированный) с нагрузкой до 0,6 Мп, не менее 20 образцов каждый;</w:t>
            </w:r>
          </w:p>
          <w:p>
            <w:pPr>
              <w:pStyle w:val="Normal"/>
              <w:jc w:val="both"/>
              <w:rPr/>
            </w:pPr>
            <w:r>
              <w:rPr/>
              <w:t>- выполнить сокращенный комплекс физико-механических свойств глинистых грунтов, определить3 показатели сжимаемости (определение просадочности) и сопутствующие определения при компрессионных испытаниях (с одной и двумя ветвями нагрузки) до 0,6 МПа, не менее 20 образцов каждый;</w:t>
            </w:r>
          </w:p>
          <w:p>
            <w:pPr>
              <w:pStyle w:val="Normal"/>
              <w:jc w:val="both"/>
              <w:rPr/>
            </w:pPr>
            <w:r>
              <w:rPr/>
              <w:t>- приготовление и анализ водной вытяжки с определением натрия и калия на пламенном фотометре водная вытяжка, концентрация водородных ионов рН, хлориды, карбонат- и гидрокарбонат-ионы, сульфаты, кальций и магний, сухой остаток) - не менее 5 образцов</w:t>
            </w:r>
          </w:p>
          <w:p>
            <w:pPr>
              <w:pStyle w:val="Normal"/>
              <w:jc w:val="both"/>
              <w:rPr/>
            </w:pPr>
            <w:r>
              <w:rPr/>
              <w:t>- произвести стандартный анализ воды, не менее 3 проб (физические свойства, водородный показатель - рН, углекислота свободная, гидрокарбонат- и карбонат-ионы, хлориды, сульфаты, нитриты, нитраты, фтор, аммоний, кальций, магний, железо закислое, железо окислое, сухой остаток, сумма натрия и калия (расчетом), жесткость общая и карбонатная (расчетом), окисляемость;</w:t>
            </w:r>
          </w:p>
          <w:p>
            <w:pPr>
              <w:pStyle w:val="Normal"/>
              <w:jc w:val="both"/>
              <w:rPr/>
            </w:pPr>
            <w:r>
              <w:rPr/>
              <w:t>- произвести анализ грунтов и грунтовых вод на коррозионную активность по отношению к бетону, не менее 3 образцов.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Предусмотреть расходы по организации и ликвидации работ и внутреннему транспорту с расстоянием до 5 км. 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- инженерно-экологические изыскания: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Выполнить маршрутное наблюдение на участке протяженностью не менее 0,2 км при составлении инженерно-экологических карт, выполнить рекогносцировочное обследование территории протяженностью не менее 0,2 км, произвести радиационное обследование участка площадью не менее 0,81 га, произвести отбор точечных проб почво-грунтов для анализа на загрязненность по химическим показателям (не менее 1 проб), произвести отбор проб почво-грунтов для анализа на радиоактивное загрязнение (не менее 1 пробы), описать точки наблюдения  (не менее 1 точки), измерить плотность потока радона (не менее 10 точек), отбор проб </w:t>
              <w:br/>
              <w:t>для бактериологического и гельминтологического анализа (не менее 1 образца каждой).</w:t>
            </w:r>
          </w:p>
          <w:p>
            <w:pPr>
              <w:pStyle w:val="Normal"/>
              <w:jc w:val="both"/>
              <w:rPr/>
            </w:pPr>
            <w:r>
              <w:rPr/>
              <w:t>Выполнить лабораторные работы на определение химического, бактериологического состава грунтов, в т.ч.:</w:t>
            </w:r>
          </w:p>
          <w:p>
            <w:pPr>
              <w:pStyle w:val="Normal"/>
              <w:jc w:val="both"/>
              <w:rPr/>
            </w:pPr>
            <w:r>
              <w:rPr/>
              <w:t>- определение 25 химических элементов в грунтах методом спектрального анализа (не менее 1 образца);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определение радионуклидов в грунтах (не менее </w:t>
              <w:br/>
              <w:t>1 образца);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микробиологигическое и паразитологическое исследования (не менее 2 образцов).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Предусмотреть камеральную обработку рекогносцировочного обследования территории </w:t>
              <w:br/>
              <w:t>и маршрутного наблюдения при составлении инженерно-экологических карт, описания точек наблюдений при составлении данных карт, камеральную обработку данных лабораторных исследований и радиационного обследования, составление технического отчета по результатам изысканий;</w:t>
            </w:r>
          </w:p>
          <w:p>
            <w:pPr>
              <w:pStyle w:val="Normal"/>
              <w:jc w:val="both"/>
              <w:rPr/>
            </w:pPr>
            <w:r>
              <w:rPr/>
              <w:t>Предусмотреть расходы на организацию и ликвидацию работ и внутреннему транспорту при расстоянии до 5 км.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- археологические изыскания:</w:t>
            </w:r>
          </w:p>
          <w:p>
            <w:pPr>
              <w:pStyle w:val="Normal"/>
              <w:jc w:val="both"/>
              <w:rPr/>
            </w:pPr>
            <w:r>
              <w:rPr/>
              <w:t>Выполнить предварительное ознакомление с литературой, графическими материалами, материалами предыдущих экспедиций, обследование территории предполагаемого строительства, проведение шурфовочных работ (не менее 3 шурфов 2х2м), фотофиксацию (не менее 3-х негативов на шурф), составление научного отчета, оформление альбома иллюстраций объемом 20 фотографий.</w:t>
            </w:r>
          </w:p>
          <w:p>
            <w:pPr>
              <w:pStyle w:val="Normal"/>
              <w:jc w:val="both"/>
              <w:rPr/>
            </w:pPr>
            <w:r>
              <w:rPr/>
              <w:t>2. Изыскания выполнить в соответствии с требованиями:</w:t>
            </w:r>
          </w:p>
          <w:p>
            <w:pPr>
              <w:pStyle w:val="Normal"/>
              <w:jc w:val="both"/>
              <w:rPr/>
            </w:pPr>
            <w:r>
              <w:rPr/>
              <w:t>-  СП 47.13330.2016. «Свод правил. Инженерные изыскания для строительства. Основные положения. Актуализированная редакция СНиП 11-02-96».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С пунктами СП 47.13330.2012, включенными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</w:t>
              <w:br/>
              <w:t>о безопасности зданий и сооружений", утвержденный Постановлением Правительства РФ от 26.12.2014 N 1521, до внесения соответствующих изменений в указанный Перечень.</w:t>
            </w:r>
          </w:p>
          <w:p>
            <w:pPr>
              <w:pStyle w:val="Normal"/>
              <w:jc w:val="both"/>
              <w:rPr/>
            </w:pPr>
            <w:r>
              <w:rPr/>
              <w:t>- СП 11-102-97 «Инженерно-экологические изыскания для строительства»;</w:t>
            </w:r>
          </w:p>
          <w:p>
            <w:pPr>
              <w:pStyle w:val="Normal"/>
              <w:jc w:val="both"/>
              <w:rPr/>
            </w:pPr>
            <w:r>
              <w:rPr/>
              <w:t>- СП 11-103-97 «Инженерно-гидрометеорологические изыскания для строительства»;</w:t>
            </w:r>
          </w:p>
          <w:p>
            <w:pPr>
              <w:pStyle w:val="Normal"/>
              <w:jc w:val="both"/>
              <w:rPr/>
            </w:pPr>
            <w:r>
              <w:rPr/>
              <w:t>- СП 103.13330.2012. «Свод правил. Защита горных выработок от подземных и поверхностных вод. Актуализированная редакция СНиП 2.06.14-85»;</w:t>
            </w:r>
          </w:p>
          <w:p>
            <w:pPr>
              <w:pStyle w:val="Normal"/>
              <w:jc w:val="both"/>
              <w:rPr/>
            </w:pPr>
            <w:r>
              <w:rPr/>
              <w:t>- №73-ФЗ от 25.06.2002 «Об объектах культурного наследия (памятниках истории и культуры) народов Российской Федерации»</w:t>
            </w:r>
          </w:p>
          <w:p>
            <w:pPr>
              <w:pStyle w:val="Normal"/>
              <w:jc w:val="both"/>
              <w:rPr/>
            </w:pPr>
            <w:r>
              <w:rPr/>
              <w:t>- "ГОСТ 12071-2014. Межгосударственный стандарт. Грунты. Отбор, упаковка, транспортирование и хранение образцов".</w:t>
            </w:r>
          </w:p>
          <w:p>
            <w:pPr>
              <w:pStyle w:val="Normal"/>
              <w:jc w:val="both"/>
              <w:rPr/>
            </w:pPr>
            <w:r>
              <w:rPr/>
              <w:t>- др. нормативных документов.</w:t>
            </w:r>
          </w:p>
          <w:p>
            <w:pPr>
              <w:pStyle w:val="Normal"/>
              <w:jc w:val="both"/>
              <w:rPr/>
            </w:pPr>
            <w:r>
              <w:rPr/>
              <w:t>3. Подрядной организации при выполнении инженерно-геологических, археологических изысканий, необходимо вызвать на объект представителя Заказчика для фиксирования объемов (за два дня до начала выполнения работ).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11"/>
              <w:snapToGrid w:val="false"/>
              <w:ind w:lef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Основные требования к конструктивным решениям и материалам несущих и ограждающих конструкций.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 Разработать проектную и рабочую документацию </w:t>
              <w:br/>
              <w:t xml:space="preserve">для строительства объекта «Строительство амбулаторно-поликлинического корпуса Ростовской областной клинической больницы» в соответствии  с требованиями технических регламентов, сводов правил, строительным, санитарным, пожарным и антитерростическим нормам и иным нормативно-правовым актам Российской Федерации, в том числе </w:t>
              <w:br/>
              <w:t xml:space="preserve">СанПиН 2.1.3.2630-10 "Санитарно-эпидемиологические требования к организациям, осуществляющим медицинскую </w:t>
            </w:r>
            <w:r>
              <w:rPr>
                <w:shd w:fill="FFFFFF" w:val="clear"/>
              </w:rPr>
              <w:t>деятельность".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2. Состав и содержание разделов проектной документации должны соответствовать Постановлению Правительства Российской Федерации от 16.02.2008 № 87 «О составе разделов проектной документации и требованиях </w:t>
              <w:br/>
              <w:t>к их содержанию.</w:t>
            </w:r>
          </w:p>
          <w:p>
            <w:pPr>
              <w:pStyle w:val="Normal"/>
              <w:jc w:val="both"/>
              <w:rPr/>
            </w:pPr>
            <w:r>
              <w:rPr/>
              <w:t>3. Разработать экономически-эффективную (соответствующую критериям экономической эффективности проектной документации, утвержденным постановлением Правительства РФ от 12.11.2016 № 1159) проектную документацию.</w:t>
            </w:r>
          </w:p>
          <w:p>
            <w:pPr>
              <w:pStyle w:val="Normal"/>
              <w:jc w:val="both"/>
              <w:rPr/>
            </w:pPr>
            <w:r>
              <w:rPr/>
              <w:t>4. Осуществлять сопровождение получения всех технических условий, технических рекомендаций, недостающих и (или) дополнительных исходных данных, запрошенных в ходе выполнения работ Подрядчиком или заказчиком по письменному запросу Подрядчика.</w:t>
            </w:r>
          </w:p>
          <w:p>
            <w:pPr>
              <w:pStyle w:val="Normal"/>
              <w:jc w:val="both"/>
              <w:rPr/>
            </w:pPr>
            <w:r>
              <w:rPr/>
              <w:t>5. Подключение к сетям инженерно-технического обеспечения выполнить в соответствии с полученными в ходе проектирования техническими условиями.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6. Предусмотреть вынос (перенос) инженерных сетей </w:t>
              <w:br/>
              <w:t>с территории земельного участка (при необходимости).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7. Выполнить обследование территории, участка на которых будут производится строительно-монтажные работы, составить акт оценки состояния зеленых насаждений. </w:t>
            </w:r>
          </w:p>
          <w:p>
            <w:pPr>
              <w:pStyle w:val="Normal"/>
              <w:jc w:val="both"/>
              <w:rPr/>
            </w:pPr>
            <w:r>
              <w:rPr/>
              <w:t>8. По результатам акта обследования разработать схему (проект) компенсационного озеленения (при необходимости).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9. Обеспечить проведение государственной историко-культурной экспертизы результатов археологических исследований земельного участка, акт историко-культурной экспертизы направить на рассмотрение в Комитет по охране объектов культурного наследия Ростовской области.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10. В случае использования в проектной документации указаний на торговые марки, товары, применяемые </w:t>
              <w:br/>
              <w:t>при выполнении работ, для таких товаров разработать показатели эквивалентности, максимальные и (или) минимальные значения таких показателей, также значения, которые не могут изменяться, определяющие соответствие товара потребностям заказчика.</w:t>
            </w:r>
          </w:p>
          <w:p>
            <w:pPr>
              <w:pStyle w:val="Normal"/>
              <w:jc w:val="both"/>
              <w:rPr/>
            </w:pPr>
            <w:r>
              <w:rPr/>
              <w:t>11. Перечень материалов, оборудования, содержащий сведения о показателях эквивалентности, а также значениях, которые не могут изменяться, определяющие соответствие товара потребностям заказчика оформить и представить отдельным документом.</w:t>
            </w:r>
          </w:p>
          <w:p>
            <w:pPr>
              <w:pStyle w:val="Normal"/>
              <w:jc w:val="both"/>
              <w:rPr/>
            </w:pPr>
            <w:r>
              <w:rPr/>
              <w:t>12. При выполнении раздела «Пожарная безопасность» предусмотреть автоматическую пожарную сигнализацию, передающую сигнал о пожаре непосредственно на пульт «01» в центр управления в кризисных ситуациях (ЦУКС) города.</w:t>
            </w:r>
          </w:p>
          <w:p>
            <w:pPr>
              <w:pStyle w:val="Normal"/>
              <w:jc w:val="both"/>
              <w:rPr/>
            </w:pPr>
            <w:r>
              <w:rPr/>
              <w:t>13. При проектировании подраздела «Сети связи» предусмотреть оборудование ЛВС, раздел видеонаблюдения периметра территории и здания (не менее 5 камер), системы оповещения здания и территории от независимого источника питания, сети связи (структурированная кабельная сеть, телефонизация, радиофикация, телевидение, системы двухсторонней и экстренной связи), иные мероприятия, предусмотренные действующими нормативами, а также контроля доступа.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14. Проектная организация несёт ответственность, </w:t>
              <w:br/>
              <w:t xml:space="preserve">в соответствии с законодательством Российской Федерации, за примененные технические и технологические решения, </w:t>
              <w:br/>
              <w:t>а также за достоверность и полноту представленных заказчику документов и сведений.</w:t>
            </w:r>
          </w:p>
          <w:p>
            <w:pPr>
              <w:pStyle w:val="211"/>
              <w:snapToGrid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 Рабочую документацию разработать на основании проектной документации, получившей положительное заключение государственной экспертизы.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11"/>
              <w:snapToGrid w:val="false"/>
              <w:ind w:lef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конструктивным решениям и материалам несущих и ограждающих конструкций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 Материалы и конструкции принять по карточке согласования     конструкций, материалов, оборудования. </w:t>
            </w:r>
          </w:p>
          <w:p>
            <w:pPr>
              <w:pStyle w:val="Normal"/>
              <w:jc w:val="both"/>
              <w:rPr/>
            </w:pPr>
            <w:r>
              <w:rPr/>
              <w:t>2. Конструктивные решения должны отвечать строительным нормам и правилам, санитарным нормам и иным нормативно- правовым актам Российской Федерации.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11"/>
              <w:snapToGrid w:val="false"/>
              <w:ind w:left="0" w:hanging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Требования к архитектурно-планировочным решениям.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 Состав и площадь помещений принять согласно строительным нормам и правилам, санитарным нормам </w:t>
              <w:br/>
              <w:t>и иным нормативно- правовым актам Российской Федерации.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2. Архитектурные и колористические решения фасадов </w:t>
              <w:br/>
              <w:t xml:space="preserve">на стадии разработки проектной документации согласовать </w:t>
              <w:br/>
              <w:t xml:space="preserve">с заказчиком. Отказ в согласовании может быть получен при несоблюдении СП 118.13330.2012* </w:t>
              <w:br/>
              <w:t>и СанПиН 2.1.3.2630-10 и данного задания.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3. Поэтажные планы (с учетом состава помещений), разработанные в соответствии с требованиями </w:t>
              <w:br/>
              <w:t xml:space="preserve">СП 118.13330.2012*. Свод правил. Общественные здания </w:t>
              <w:br/>
              <w:t xml:space="preserve">и сооружения. Актуализированная редакция </w:t>
              <w:br/>
              <w:t xml:space="preserve">СНиП 31-06-2009" и СанПиН 2.1.3.2630-10 "Санитарно-эпидемиологические требования к организациям осуществляющим медицинскую деятельность" согласовать </w:t>
              <w:br/>
              <w:t xml:space="preserve">с заказчиком. Отказ в согласовании может быть получен при несоблюдении СП 118.13330.2012* </w:t>
              <w:br/>
              <w:t>и СанПиН 2.1.3.2630-10 и данного задания.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 xml:space="preserve">Требования к планировочной организации земельного участка  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Планировочная организации земельного участка   должна соответствовать требованиям градостроительного плана земельного участка, санитарным и иным нормативно-правовым актам Российской Федерации.</w:t>
            </w:r>
          </w:p>
          <w:p>
            <w:pPr>
              <w:pStyle w:val="Normal"/>
              <w:jc w:val="both"/>
              <w:rPr/>
            </w:pPr>
            <w:r>
              <w:rPr/>
              <w:t>2. Предусмотреть размещение на территории поликлиники детской площадки.</w:t>
            </w:r>
          </w:p>
          <w:p>
            <w:pPr>
              <w:pStyle w:val="Normal"/>
              <w:jc w:val="both"/>
              <w:rPr>
                <w:highlight w:val="yellow"/>
              </w:rPr>
            </w:pPr>
            <w:r>
              <w:rPr/>
              <w:t xml:space="preserve">3. Схему планировочной организации земельного участка, разработанную в соответствии с требованиями </w:t>
              <w:br/>
              <w:t xml:space="preserve">СП 118.13330.2012* и СанПиН 2.1.3.2630-10, согласовать </w:t>
              <w:br/>
              <w:t xml:space="preserve">с заказчиком. Отказ в согласовании может быть получен при несоблюдении СП 118.13330.2012* </w:t>
              <w:br/>
              <w:t>и СанПиН 2.1.3.2630-10 и данного задания.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к инженерному и технологическому оборудованию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 В соответствии с требованиями технических условий, строительным нормам и правилам, санитарным нормам </w:t>
              <w:br/>
              <w:t>и иным нормативно- правовым актам Российской Федерации.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/>
              <w:t>2. Разработать проект узла учета расхода тепловой энергии</w:t>
              <w:br/>
              <w:t xml:space="preserve"> в соответствии с «Правилами коммерческого учета тепловой энергии, теплоносителя», утвержденными постановлением Правительства РФ от 18.11.2013 №1034, согласовать проект </w:t>
              <w:br/>
              <w:t>с теплоснабжающей организацией, к сетям которой будет осуществляться технологическое присоединение.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по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>
                <w:color w:val="FF0000"/>
              </w:rPr>
            </w:pPr>
            <w:r>
              <w:rPr/>
              <w:t>1. Учесть требования ГУ МЧС России по Ростовской области, полученные проектной организацией в ходе проектирования объекта (при необходимости).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к внутренней отделке и интерьерам помещений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 В соответствии с требованиями СП 118.13330.2012* </w:t>
              <w:br/>
              <w:t>и СанПиН 2.1.3.2630-10 и иными нормативно- правовым актами Российской Федерации</w:t>
            </w:r>
          </w:p>
          <w:p>
            <w:pPr>
              <w:pStyle w:val="Normal"/>
              <w:jc w:val="both"/>
              <w:rPr/>
            </w:pPr>
            <w:r>
              <w:rPr/>
              <w:t>2. Выполнить эскизные проработки, отражающие визуализацию готового решения интерьера (состав помещений принять по согласованию с заказчиком). Отказ в согласовании может быть получен при несоблюдении требований данного задания.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Требования о необходимости выполнения экологических и санитарно- эпидемиологических условий к объекту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>1. В составе проекта (раздела «Мероприятия по охране окружающей среды») представить протоколы лабораторных испытаний по микробиологическому, паразитологическому, физико-химическому и радиологическому исследованию проб почвы земельного участка.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по вариантной и конкурсной разработке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Выполнить варианты проработки объемно-планировочных решений (не менее 2-х) для выбора оптимальных проектных решений принять оптимальный вариант для дальнейшего проектирования по согласованию с заказчиком.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по обеспечению условий жизнедеятельности маломобильных групп населения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В соответствии с «СП 59.13330.2016. Свод правил. Доступность зданий и сооружений для маломобильных групп населения. Актуализированная редакция СНиП 35-01-2001».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2. В соответствии с пунктами СП 59.13330.2012, включенными в Перечень национальных стандартов и сводов правил (частей таких стандартов и сводов правил), </w:t>
              <w:br/>
              <w:t xml:space="preserve">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</w:t>
              <w:br/>
              <w:t>и сооружений", утвержденный Постановлением Правительства РФ от 26.12.2014 N 1521, до внесения соответствующих изменений в указанный Перечень.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Дополнительные требования к составу проекта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В составе проектной документации предусмотреть:</w:t>
            </w:r>
          </w:p>
          <w:p>
            <w:pPr>
              <w:pStyle w:val="Normal"/>
              <w:jc w:val="both"/>
              <w:rPr/>
            </w:pPr>
            <w:r>
              <w:rPr/>
              <w:t>- охранную и противопожарную системы в объеме согласно действующим нормативным требованиям;</w:t>
            </w:r>
          </w:p>
          <w:p>
            <w:pPr>
              <w:pStyle w:val="Normal"/>
              <w:jc w:val="both"/>
              <w:rPr/>
            </w:pPr>
            <w:r>
              <w:rPr/>
              <w:t>- молниезащиту здания;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 перечень мероприятий по гражданской обороне, мероприятий по предупреждению чрезвычайной ситуации природных и техногенных характеристик </w:t>
              <w:br/>
              <w:t>(при необходимости);</w:t>
            </w:r>
          </w:p>
          <w:p>
            <w:pPr>
              <w:pStyle w:val="Normal"/>
              <w:jc w:val="both"/>
              <w:rPr/>
            </w:pPr>
            <w:r>
              <w:rPr/>
              <w:t>- проект компенсационного озеленения (при необходимости);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 раздел обеспечения сохранности объектов культурного наследия, согласованный с Комитетом по охране объектов культурного наследия Ростовской области </w:t>
              <w:br/>
              <w:t>(при необходимости);</w:t>
            </w:r>
          </w:p>
          <w:p>
            <w:pPr>
              <w:pStyle w:val="Normal"/>
              <w:jc w:val="both"/>
              <w:rPr/>
            </w:pPr>
            <w:r>
              <w:rPr/>
              <w:t>- раздел, устанавливающий требования к обеспечению безопасной эксплуатации объектов капитального строительства (при необходимости).</w:t>
            </w:r>
          </w:p>
          <w:p>
            <w:pPr>
              <w:pStyle w:val="Normal"/>
              <w:jc w:val="both"/>
              <w:rPr/>
            </w:pPr>
            <w:r>
              <w:rPr/>
              <w:t>2. Выполнить (разработать):</w:t>
            </w:r>
          </w:p>
          <w:p>
            <w:pPr>
              <w:pStyle w:val="Normal"/>
              <w:jc w:val="both"/>
              <w:rPr/>
            </w:pPr>
            <w:r>
              <w:rPr/>
              <w:t>- отдельным документом «Сведения о проектной документации повторного использования» (по форме согласно Постановлению Правительства РФ от 31.03.2017 №389, графы с 31 по 39)</w:t>
            </w:r>
          </w:p>
          <w:p>
            <w:pPr>
              <w:pStyle w:val="Normal"/>
              <w:jc w:val="both"/>
              <w:rPr/>
            </w:pPr>
            <w:r>
              <w:rPr/>
              <w:t>- инструкцию по эксплуатации объекта.</w:t>
            </w:r>
          </w:p>
          <w:p>
            <w:pPr>
              <w:pStyle w:val="Normal"/>
              <w:jc w:val="both"/>
              <w:rPr/>
            </w:pPr>
            <w:r>
              <w:rPr/>
              <w:t>- декларацию пожарной безопасности объекта.</w:t>
            </w:r>
          </w:p>
          <w:p>
            <w:pPr>
              <w:pStyle w:val="Normal"/>
              <w:jc w:val="both"/>
              <w:rPr/>
            </w:pPr>
            <w:r>
              <w:rPr/>
              <w:t>- энергетический паспорт объекта.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Особые условия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1. Не позднее 20 дней со дня заключения договора разработать варианты проработки объемно-планировочных решений (не менее 2-х) для выбора оптимальных проектных решений и представить на рассмотрение заказчику.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2. Не позднее 30 дней с даты заключения договора выполнить обследование территории, участков </w:t>
              <w:br/>
              <w:t>на которых будут производится строительно-монтажные работы, составить акт оценки состояния зеленых насаждений.</w:t>
            </w:r>
          </w:p>
          <w:p>
            <w:pPr>
              <w:pStyle w:val="Normal"/>
              <w:jc w:val="both"/>
              <w:rPr/>
            </w:pPr>
            <w:r>
              <w:rPr/>
              <w:t>3. Не позднее 50 дней со дня заключения договора завершить необходимые для проектирования инженерные изыскания и представить заказчику технические отчеты для рассмотрения.</w:t>
            </w:r>
          </w:p>
          <w:p>
            <w:pPr>
              <w:pStyle w:val="Normal"/>
              <w:jc w:val="both"/>
              <w:rPr/>
            </w:pPr>
            <w:r>
              <w:rPr/>
              <w:t>4. Не позднее 60 дней со дня заключения договора выполнить расчёты нагрузок на сети инженерно-технического обеспечения (исходные данные для получения технических условий).</w:t>
            </w:r>
          </w:p>
          <w:p>
            <w:pPr>
              <w:pStyle w:val="Normal"/>
              <w:jc w:val="both"/>
              <w:rPr/>
            </w:pPr>
            <w:r>
              <w:rPr/>
              <w:t>5. Не позднее 80 дней со дня заключения договора выполнить сбор всех недостающих исходных данных, необходимых для разработки проектной документации. Оригиналы полученных исходных данных представить заказчику.</w:t>
            </w:r>
          </w:p>
          <w:p>
            <w:pPr>
              <w:pStyle w:val="Normal"/>
              <w:jc w:val="both"/>
              <w:rPr/>
            </w:pPr>
            <w:r>
              <w:rPr/>
              <w:t>6. Не позднее 90 дней со дня заключения договора представить на согласование карточку согласований     конструкций, материалов и оборудования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7. Не позднее 100 дней со дня заключения договора представить на рассмотрение архитектурные </w:t>
              <w:br/>
              <w:t>и колористические решения фасадов, поэтажные планы, схему планировочной организации земельного участка, эскизные проработки, отражающие визуализацию готового решения интерьера, сводный план сетей отражающий подключение объекта к сетям инженерно-технического обеспечения в соответствии с полученными в ходе проектирования техническими условиями.</w:t>
            </w:r>
          </w:p>
          <w:p>
            <w:pPr>
              <w:pStyle w:val="Normal"/>
              <w:jc w:val="both"/>
              <w:rPr/>
            </w:pPr>
            <w:r>
              <w:rPr/>
              <w:t>8. Не позднее 120 дней со дня заключения договора представить на рассмотрение утвержденный расчет предельной стоимости объекта капитального строительства по укрупненным показателям нормативов цены строительства (НЦС).</w:t>
            </w:r>
          </w:p>
          <w:p>
            <w:pPr>
              <w:pStyle w:val="Normal"/>
              <w:jc w:val="both"/>
              <w:rPr/>
            </w:pPr>
            <w:r>
              <w:rPr/>
              <w:t>9. Не позднее 160 дней со дня заключения договора представить заказчику полный комплект проектной и сметной документации в одном экземпляре для рассмотрения. В случае выявления недоработок, выявления отступлений от технического задания, доработать документацию по замечаниям заказчика.</w:t>
            </w:r>
          </w:p>
          <w:p>
            <w:pPr>
              <w:pStyle w:val="Normal"/>
              <w:jc w:val="both"/>
              <w:rPr/>
            </w:pPr>
            <w:r>
              <w:rPr/>
              <w:t>10. Не позднее 180 дней со дня заключения договора представить заказчику копию заключенных договоров на проведение государственной экспертизы проектной документации и результатов инженерных изысканий, о достоверности определения сметной стоимости строительства объекта.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11. Еженедельно с момента заключения договора </w:t>
              <w:br/>
              <w:t xml:space="preserve">на проведение экспертной оценки с уполномоченным органом государственной экспертизы информировать заказчика о ходе проведения экспертизы проектной, изыскательской и сметной документации. </w:t>
              <w:br/>
              <w:t xml:space="preserve">(о наличии замечаний и принятых мерах по их устранению). </w:t>
            </w:r>
          </w:p>
          <w:p>
            <w:pPr>
              <w:pStyle w:val="Normal"/>
              <w:jc w:val="both"/>
              <w:rPr/>
            </w:pPr>
            <w:r>
              <w:rPr/>
              <w:t>12. Не позднее 260 дней со дня заключения договора представить заказчику рабочую документацию, разработанную на основании проектной документации, получившей положительное заключение государственной экспертизы.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Требования к сметной документации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 xml:space="preserve">1. Разработать в соответствии с Постановлением Госстроя России от 05.03.2004 N 15/1 "Об утверждении и введении в действие Методики определения стоимости строительной продукции на территории Российской Федерации"(вместе с "МДС 81-35.2004...") в базисных ценах 2001 г (с пересчетом в текущие цены) в соответствии </w:t>
              <w:br/>
              <w:t>с действующими нормативами в области сметного ценообразования.</w:t>
            </w:r>
          </w:p>
          <w:p>
            <w:pPr>
              <w:pStyle w:val="Normal"/>
              <w:tabs>
                <w:tab w:val="left" w:pos="398" w:leader="none"/>
              </w:tabs>
              <w:jc w:val="both"/>
              <w:rPr/>
            </w:pPr>
            <w:r>
              <w:rPr/>
              <w:t>2. Расчёт сметной стоимости выполнить в соответствии со сметно-нормативной базой, внесённой в федеральный реестр сметных нормативов.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3. Сметной документацией предусмотреть затраты </w:t>
              <w:br/>
              <w:t xml:space="preserve">на возмещение     ущерба, при возможном сносе зеленых насаждений, компенсационном озеленении и восстановление нарушенного благоустройства, затраты на производство работ по обеспечению сохранности объектов культурного наследия (при необходимости), затраты на перекладку инженерных коммуникаций попадающих в зону строительства, а также плату за подключение к сетям инженерно-технического обеспечения (технологическое подключение),   затраты на изготовление исполнительной технической    документации, в том числе тех. план </w:t>
              <w:br/>
              <w:t xml:space="preserve">(тех. паспорт), затраты на утилизацию грунта </w:t>
              <w:br/>
              <w:t>и строительного мусора.</w:t>
            </w:r>
          </w:p>
          <w:p>
            <w:pPr>
              <w:pStyle w:val="Normal"/>
              <w:tabs>
                <w:tab w:val="left" w:pos="383" w:leader="none"/>
              </w:tabs>
              <w:jc w:val="both"/>
              <w:rPr/>
            </w:pPr>
            <w:r>
              <w:rPr/>
              <w:t>4. Сметной документацией, в случае необходимости, предусмотреть пусконаладочные работы по оборудованию.</w:t>
            </w:r>
          </w:p>
          <w:p>
            <w:pPr>
              <w:pStyle w:val="Normal"/>
              <w:tabs>
                <w:tab w:val="left" w:pos="398" w:leader="none"/>
              </w:tabs>
              <w:spacing w:lineRule="exact" w:line="280" w:before="0" w:after="120"/>
              <w:jc w:val="both"/>
              <w:rPr/>
            </w:pPr>
            <w:r>
              <w:rPr/>
              <w:t>5. Сметной документацией предусмотреть разделение:</w:t>
            </w:r>
          </w:p>
          <w:p>
            <w:pPr>
              <w:pStyle w:val="Normal"/>
              <w:tabs>
                <w:tab w:val="left" w:pos="323" w:leader="none"/>
              </w:tabs>
              <w:spacing w:lineRule="exact" w:line="280" w:before="0" w:after="240"/>
              <w:jc w:val="both"/>
              <w:rPr/>
            </w:pPr>
            <w:r>
              <w:rPr/>
              <w:t xml:space="preserve">- оборудование монтируемое – стационарное монтируемое                       (т.е. строго привязанное к месту установки и требующее крепления к основанию, ввиду чего поставка, установка </w:t>
              <w:br/>
              <w:t>и подключение технологического оборудования неразрывно связаны с выполнением строительно-монтажных работ);</w:t>
            </w:r>
          </w:p>
          <w:p>
            <w:pPr>
              <w:pStyle w:val="Normal"/>
              <w:tabs>
                <w:tab w:val="left" w:pos="323" w:leader="none"/>
              </w:tabs>
              <w:spacing w:lineRule="exact" w:line="280" w:before="0" w:after="240"/>
              <w:jc w:val="both"/>
              <w:rPr/>
            </w:pPr>
            <w:r>
              <w:rPr/>
              <w:t xml:space="preserve">- немонтируемое оборудование - поставка, установка </w:t>
              <w:br/>
              <w:t xml:space="preserve">и подключение технологического оборудования не связаны </w:t>
              <w:br/>
              <w:t>с выполнением строительно-монтажных работ.</w:t>
            </w:r>
          </w:p>
          <w:p>
            <w:pPr>
              <w:pStyle w:val="Normal"/>
              <w:jc w:val="both"/>
              <w:rPr/>
            </w:pPr>
            <w:r>
              <w:rPr/>
              <w:t>6. Стоимость ресурсов (оборудования, материалов) отсутствующих в «Сборниках сметных цен на материалы, изделия и конструкции, применяемые в строительстве» следует определять в текущем уровне цен на основании информации, полученной не менее чем от трех поставщиков указанных ресурсов с применением   минимальной стоимости данного ресурса с учётом транспортных и заготовительно-складских расходов. Для проведения сопоставительного анализа по стоимости материалов и оборудования отсутствующих в «Сборниках сметных цен на материалы, изделия и конструкции, применяемые в строительстве» необходима информация не менее чем от трёх поставщиков указанных ресурсов с оформлением отчёта в табличной форме на бумажном и электронном носителях за подписью руководителя организации и обязательным приложением прайс-листов или коммерческих предложений, использованных при подготовке документов.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7. Согласовать предусмотренное проектом применяемое монтируемое и немонтируемое оборудование </w:t>
              <w:br/>
              <w:t>с заказчиком. Отказ в согласовании может наступить при несоблюдении требований</w:t>
            </w:r>
            <w:r>
              <w:rPr>
                <w:color w:val="FF0000"/>
              </w:rPr>
              <w:t xml:space="preserve"> </w:t>
              <w:br/>
            </w:r>
            <w:r>
              <w:rPr/>
              <w:t>СП 118.13330.2012* и СанПиН 2.1.3.2630-10 и данного задания.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8. Предоставить расчет предельной стоимости объекта капитального строительства по укрупненным показателям НЦС, действующим на дату выполнения проектных </w:t>
              <w:br/>
              <w:t xml:space="preserve">и изыскательских работ. </w:t>
            </w:r>
          </w:p>
          <w:p>
            <w:pPr>
              <w:pStyle w:val="Normal"/>
              <w:jc w:val="both"/>
              <w:rPr/>
            </w:pPr>
            <w:r>
              <w:rPr/>
              <w:t>9. Локальные сметные расчеты составить на отдельные виды работ и затрат на основе реальных объемов, определившихся при разработке документации.</w:t>
            </w:r>
          </w:p>
          <w:p>
            <w:pPr>
              <w:pStyle w:val="Normal"/>
              <w:jc w:val="both"/>
              <w:rPr/>
            </w:pPr>
            <w:r>
              <w:rPr/>
              <w:t>10. Разработать ведомость объемов работ.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Указания о выполнении согласований и экспертизы проектной документации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1. Согласовать документацию внеплощадочных инженерных сетей со всеми заинтересованными службами города </w:t>
              <w:br/>
              <w:t xml:space="preserve">и организациями </w:t>
            </w:r>
            <w:r>
              <w:rPr>
                <w:rFonts w:ascii="13" w:hAnsi="13"/>
                <w:sz w:val="25"/>
                <w:szCs w:val="25"/>
              </w:rPr>
              <w:t xml:space="preserve">(ЦЭС, АО «Ростовводоканал», </w:t>
            </w:r>
            <w:r>
              <w:rPr>
                <w:rFonts w:ascii="Calibri" w:hAnsi="Calibri" w:asciiTheme="minorHAnsi" w:hAnsiTheme="minorHAnsi"/>
                <w:sz w:val="25"/>
                <w:szCs w:val="25"/>
              </w:rPr>
              <w:br/>
            </w:r>
            <w:r>
              <w:rPr>
                <w:rFonts w:ascii="13" w:hAnsi="13"/>
                <w:sz w:val="25"/>
                <w:szCs w:val="25"/>
              </w:rPr>
              <w:t>ОАО «Ростовгоргаз», ОАО «Ростовоблгаз» филиал «Подземметаллозащита», Комитет по охране окружающей среды города Ростова-на-Дону, Департамент архитектуры и градостроительства города Ростова-на-Дону, Департамент автомобильных дорог и организации дорожного движения города Ростова-на-Дону, ООО «РТС», МУП «Ростовская транспортная компания», Центральный МРУС Ростовского филиала</w:t>
            </w:r>
            <w:r>
              <w:rPr>
                <w:rFonts w:ascii="Calibri" w:hAnsi="Calibri" w:asciiTheme="minorHAnsi" w:hAnsiTheme="minorHAnsi"/>
                <w:sz w:val="25"/>
                <w:szCs w:val="25"/>
              </w:rPr>
              <w:t xml:space="preserve"> </w:t>
              <w:br/>
            </w:r>
            <w:r>
              <w:rPr>
                <w:rFonts w:ascii="13" w:hAnsi="13"/>
                <w:sz w:val="25"/>
                <w:szCs w:val="25"/>
              </w:rPr>
              <w:t>ОАО «Ростелеком», Центральный узел электросвязи ростовского филиала ОАО «ЮТК», МКП «Ростгорсвет», АО «Теплокоммунэнерго», АО «Донэнерго», южный филиал ЗАО «КОМСТАР-Регионы»)</w:t>
            </w:r>
            <w:r>
              <w:rPr/>
              <w:t>, а также согласно полученного в ходе проектирования информационного письма Департамента архитектуры и градостроительства города Ростова-на-Дону с перечнем необходимых дополнительных согласований (при наличии внеплощадочных инженерных сетей).</w:t>
            </w:r>
          </w:p>
          <w:p>
            <w:pPr>
              <w:pStyle w:val="Normal"/>
              <w:jc w:val="both"/>
              <w:rPr/>
            </w:pPr>
            <w:r>
              <w:rPr/>
              <w:t>2. Получить положительное заключение государственной экспертизы проектной документации и результатов инженерных изысканий.</w:t>
            </w:r>
          </w:p>
          <w:p>
            <w:pPr>
              <w:pStyle w:val="Normal"/>
              <w:jc w:val="both"/>
              <w:rPr/>
            </w:pPr>
            <w:r>
              <w:rPr/>
              <w:t>3. Получить положительное заключение государственной экспертизы о достоверности определения сметной стоимости строительства объекта.</w:t>
            </w:r>
          </w:p>
        </w:tc>
      </w:tr>
      <w:tr>
        <w:trPr/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Комплектность и вид выдачи документации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  <w:t>Проектную, изыскательскую, рабочую документацию представить: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 отчеты по инженерным изысканиям в 4-х экз. на бумажном носителе, 1 экз. на электронном носителе;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 проектную и рабочую документацию в 6-ти экз. </w:t>
              <w:br/>
              <w:t xml:space="preserve">на бумажном носителе в полном объеме, с подлинными согласованиями, сброшюрованную в альбомы, пронумеровать и указать содержание каждого альбома, 1 экз. на электронном носителе с исходными данными </w:t>
              <w:br/>
              <w:t>и согласованиями</w:t>
            </w:r>
          </w:p>
          <w:p>
            <w:pPr>
              <w:pStyle w:val="Normal"/>
              <w:jc w:val="both"/>
              <w:rPr/>
            </w:pPr>
            <w:r>
              <w:rPr/>
              <w:t>• </w:t>
            </w:r>
            <w:r>
              <w:rPr/>
              <w:t>Документацию предоставить на электронном носителе (заверенную ЭЦП) со следующими требованиями: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- Чертежи предоставить в формате *.DWG и *.PDF.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Файлы должны содержать четко структурированные слои </w:t>
              <w:br/>
              <w:t xml:space="preserve">с элементами чертежа. </w:t>
            </w:r>
          </w:p>
          <w:p>
            <w:pPr>
              <w:pStyle w:val="Normal"/>
              <w:jc w:val="both"/>
              <w:rPr/>
            </w:pPr>
            <w:r>
              <w:rPr/>
              <w:t>- Текстовые части документации, исходные данные предоставить в формате Microsoft Office Word (.doc), *.PDF.</w:t>
            </w:r>
          </w:p>
          <w:p>
            <w:pPr>
              <w:pStyle w:val="Normal"/>
              <w:jc w:val="both"/>
              <w:rPr/>
            </w:pPr>
            <w:r>
              <w:rPr/>
              <w:t>- Сметную документацию в виде файлов формата Microsoft Office Word (.doc), Microsoft Office Excel (.xls), *.PDF.</w:t>
            </w:r>
          </w:p>
          <w:p>
            <w:pPr>
              <w:pStyle w:val="Normal"/>
              <w:jc w:val="both"/>
              <w:rPr/>
            </w:pPr>
            <w:r>
              <w:rPr/>
              <w:t>- Положительные заключения государственной экспертизы предоставить в бумажном и электронном виде в формате *.PDF.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- Объем файлов в формате *.PDF не должен превышать   49 мегабайт </w:t>
            </w:r>
          </w:p>
        </w:tc>
      </w:tr>
    </w:tbl>
    <w:p>
      <w:pPr>
        <w:pStyle w:val="Normal"/>
        <w:ind w:firstLine="709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* «не менее» по тексту задания дополняется фразами: «уточнить при выполнении изысканий» или «уточнить при проектировании», за исключением п.24 задания.</w:t>
      </w:r>
    </w:p>
    <w:p>
      <w:pPr>
        <w:pStyle w:val="Normal"/>
        <w:jc w:val="both"/>
        <w:rPr/>
      </w:pPr>
      <w:r>
        <w:rPr>
          <w:sz w:val="22"/>
          <w:szCs w:val="22"/>
        </w:rPr>
        <w:t>** в случае, если какой-либо правоустанавливающий документ, нормативный акт утратил силу на момент, заключения и выполнения договора, считать действующим его актуализированную редакцию, или документ, вступивший в силу взамен указанному.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13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e23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1"/>
    <w:qFormat/>
    <w:rsid w:val="00033e23"/>
    <w:pPr>
      <w:keepNext/>
      <w:tabs>
        <w:tab w:val="left" w:pos="7088" w:leader="none"/>
      </w:tabs>
      <w:jc w:val="right"/>
      <w:outlineLvl w:val="0"/>
    </w:pPr>
    <w:rPr>
      <w:sz w:val="28"/>
      <w:szCs w:val="20"/>
    </w:rPr>
  </w:style>
  <w:style w:type="paragraph" w:styleId="2">
    <w:name w:val="Heading 2"/>
    <w:basedOn w:val="Normal"/>
    <w:link w:val="20"/>
    <w:qFormat/>
    <w:rsid w:val="00033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link w:val="31"/>
    <w:unhideWhenUsed/>
    <w:qFormat/>
    <w:rsid w:val="00033e23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</w:rPr>
  </w:style>
  <w:style w:type="paragraph" w:styleId="4">
    <w:name w:val="Heading 4"/>
    <w:basedOn w:val="Normal"/>
    <w:link w:val="40"/>
    <w:uiPriority w:val="9"/>
    <w:semiHidden/>
    <w:unhideWhenUsed/>
    <w:qFormat/>
    <w:rsid w:val="00033e23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qFormat/>
    <w:rsid w:val="00033e2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033e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0"/>
    <w:qFormat/>
    <w:rsid w:val="00033e23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33e23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  <w:sz w:val="24"/>
      <w:szCs w:val="24"/>
      <w:lang w:eastAsia="ru-RU"/>
    </w:rPr>
  </w:style>
  <w:style w:type="character" w:styleId="ConsPlusNormal" w:customStyle="1">
    <w:name w:val="ConsPlusNormal Знак"/>
    <w:link w:val="ConsPlusNormal"/>
    <w:qFormat/>
    <w:locked/>
    <w:rsid w:val="00033e23"/>
    <w:rPr>
      <w:rFonts w:ascii="Arial" w:hAnsi="Arial" w:eastAsia="Times New Roman" w:cs="Arial"/>
      <w:sz w:val="20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link w:val="a4"/>
    <w:qFormat/>
    <w:rsid w:val="00033e23"/>
    <w:rPr>
      <w:rFonts w:ascii="Times New Roman" w:hAnsi="Times New Roman" w:eastAsia="Times New Roman" w:cs="Times New Roman"/>
      <w:i/>
      <w:iCs/>
      <w:sz w:val="20"/>
      <w:szCs w:val="20"/>
      <w:lang w:eastAsia="ru-RU"/>
    </w:rPr>
  </w:style>
  <w:style w:type="character" w:styleId="Style11" w:customStyle="1">
    <w:name w:val="Нижний колонтитул Знак"/>
    <w:basedOn w:val="DefaultParagraphFont"/>
    <w:link w:val="a6"/>
    <w:uiPriority w:val="99"/>
    <w:qFormat/>
    <w:rsid w:val="00033e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qFormat/>
    <w:rsid w:val="00033e23"/>
    <w:rPr>
      <w:rFonts w:cs="Times New Roman"/>
    </w:rPr>
  </w:style>
  <w:style w:type="character" w:styleId="Style12" w:customStyle="1">
    <w:name w:val="Верхний колонтитул Знак"/>
    <w:basedOn w:val="DefaultParagraphFont"/>
    <w:link w:val="ab"/>
    <w:qFormat/>
    <w:rsid w:val="00033e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сноски Знак"/>
    <w:basedOn w:val="DefaultParagraphFont"/>
    <w:link w:val="ad"/>
    <w:uiPriority w:val="99"/>
    <w:qFormat/>
    <w:rsid w:val="00033e2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f"/>
    <w:qFormat/>
    <w:rsid w:val="00033e23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Знак"/>
    <w:basedOn w:val="DefaultParagraphFont"/>
    <w:link w:val="af2"/>
    <w:qFormat/>
    <w:rsid w:val="00033e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rsid w:val="00033e23"/>
    <w:rPr>
      <w:color w:val="0000FF"/>
      <w:u w:val="single"/>
    </w:rPr>
  </w:style>
  <w:style w:type="character" w:styleId="Diffins" w:customStyle="1">
    <w:name w:val="diff_ins"/>
    <w:qFormat/>
    <w:rsid w:val="00033e23"/>
    <w:rPr/>
  </w:style>
  <w:style w:type="character" w:styleId="22" w:customStyle="1">
    <w:name w:val="Основной текст с отступом 2 Знак"/>
    <w:basedOn w:val="DefaultParagraphFont"/>
    <w:link w:val="21"/>
    <w:qFormat/>
    <w:rsid w:val="00033e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Текст Знак"/>
    <w:basedOn w:val="DefaultParagraphFont"/>
    <w:link w:val="af6"/>
    <w:uiPriority w:val="99"/>
    <w:qFormat/>
    <w:rsid w:val="00033e23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18" w:customStyle="1">
    <w:name w:val="Название Знак"/>
    <w:basedOn w:val="DefaultParagraphFont"/>
    <w:link w:val="af8"/>
    <w:qFormat/>
    <w:rsid w:val="00033e23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FontStyle15" w:customStyle="1">
    <w:name w:val="Font Style15"/>
    <w:qFormat/>
    <w:rsid w:val="00033e23"/>
    <w:rPr>
      <w:rFonts w:ascii="Times New Roman" w:hAnsi="Times New Roman" w:cs="Times New Roman"/>
      <w:sz w:val="26"/>
      <w:szCs w:val="26"/>
    </w:rPr>
  </w:style>
  <w:style w:type="character" w:styleId="Iceouttxt5" w:customStyle="1">
    <w:name w:val="iceouttxt5"/>
    <w:uiPriority w:val="99"/>
    <w:qFormat/>
    <w:rsid w:val="00033e23"/>
    <w:rPr>
      <w:rFonts w:ascii="Arial" w:hAnsi="Arial" w:cs="Arial"/>
      <w:color w:val="666666"/>
      <w:sz w:val="17"/>
      <w:szCs w:val="17"/>
    </w:rPr>
  </w:style>
  <w:style w:type="character" w:styleId="Style19" w:customStyle="1">
    <w:name w:val="Абзац списка Знак"/>
    <w:link w:val="afa"/>
    <w:uiPriority w:val="34"/>
    <w:qFormat/>
    <w:locked/>
    <w:rsid w:val="00033e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otnotereference">
    <w:name w:val="footnote reference"/>
    <w:uiPriority w:val="99"/>
    <w:unhideWhenUsed/>
    <w:qFormat/>
    <w:rsid w:val="00033e23"/>
    <w:rPr>
      <w:vertAlign w:val="superscript"/>
    </w:rPr>
  </w:style>
  <w:style w:type="character" w:styleId="ConsPlusNonformat" w:customStyle="1">
    <w:name w:val="ConsPlusNonformat Знак"/>
    <w:link w:val="ConsPlusNonformat"/>
    <w:qFormat/>
    <w:locked/>
    <w:rsid w:val="00033e23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ntStyle12" w:customStyle="1">
    <w:name w:val="Font Style12"/>
    <w:uiPriority w:val="99"/>
    <w:qFormat/>
    <w:rsid w:val="00033e23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uiPriority w:val="99"/>
    <w:qFormat/>
    <w:rsid w:val="00033e23"/>
    <w:rPr>
      <w:rFonts w:ascii="Times New Roman" w:hAnsi="Times New Roman" w:cs="Times New Roman"/>
      <w:sz w:val="26"/>
      <w:szCs w:val="26"/>
    </w:rPr>
  </w:style>
  <w:style w:type="character" w:styleId="FontStyle14" w:customStyle="1">
    <w:name w:val="Font Style14"/>
    <w:qFormat/>
    <w:rsid w:val="00033e23"/>
    <w:rPr>
      <w:rFonts w:ascii="Times New Roman" w:hAnsi="Times New Roman" w:cs="Times New Roman"/>
      <w:b/>
      <w:bCs/>
      <w:sz w:val="26"/>
      <w:szCs w:val="26"/>
    </w:rPr>
  </w:style>
  <w:style w:type="character" w:styleId="32" w:customStyle="1">
    <w:name w:val="Основной текст 3 Знак"/>
    <w:basedOn w:val="DefaultParagraphFont"/>
    <w:link w:val="36"/>
    <w:qFormat/>
    <w:rsid w:val="00033e2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1">
    <w:name w:val="Основной текст с отступом 3 Знак"/>
    <w:basedOn w:val="DefaultParagraphFont"/>
    <w:link w:val="38"/>
    <w:qFormat/>
    <w:rsid w:val="00033e2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033e23"/>
    <w:rPr>
      <w:b/>
      <w:bCs/>
    </w:rPr>
  </w:style>
  <w:style w:type="character" w:styleId="12" w:customStyle="1">
    <w:name w:val="Заголовок №1_"/>
    <w:link w:val="110"/>
    <w:qFormat/>
    <w:locked/>
    <w:rsid w:val="00033e23"/>
    <w:rPr>
      <w:sz w:val="38"/>
      <w:szCs w:val="38"/>
      <w:shd w:fill="FFFFFF" w:val="clear"/>
    </w:rPr>
  </w:style>
  <w:style w:type="character" w:styleId="Appleconvertedspace" w:customStyle="1">
    <w:name w:val="apple-converted-space"/>
    <w:basedOn w:val="DefaultParagraphFont"/>
    <w:qFormat/>
    <w:rsid w:val="00033e23"/>
    <w:rPr/>
  </w:style>
  <w:style w:type="character" w:styleId="ListParagraphChar1" w:customStyle="1">
    <w:name w:val="List Paragraph Char1"/>
    <w:link w:val="23"/>
    <w:qFormat/>
    <w:locked/>
    <w:rsid w:val="00033e23"/>
    <w:rPr>
      <w:sz w:val="24"/>
      <w:szCs w:val="24"/>
    </w:rPr>
  </w:style>
  <w:style w:type="character" w:styleId="Doctitleimportant1" w:customStyle="1">
    <w:name w:val="doc__title_important1"/>
    <w:basedOn w:val="DefaultParagraphFont"/>
    <w:qFormat/>
    <w:rsid w:val="00033e23"/>
    <w:rPr>
      <w:vanish w:val="false"/>
      <w:color w:val="000000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color w:val="00000A"/>
      <w:sz w:val="20"/>
      <w:szCs w:val="2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f3"/>
    <w:rsid w:val="00033e23"/>
    <w:pPr>
      <w:spacing w:before="0" w:after="120"/>
    </w:pPr>
    <w:rPr/>
  </w:style>
  <w:style w:type="paragraph" w:styleId="Style22">
    <w:name w:val="List"/>
    <w:basedOn w:val="Style21"/>
    <w:pPr/>
    <w:rPr>
      <w:rFonts w:cs="Free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 w:customStyle="1">
    <w:name w:val="Знак"/>
    <w:basedOn w:val="Normal"/>
    <w:qFormat/>
    <w:rsid w:val="00033e23"/>
    <w:pPr>
      <w:tabs>
        <w:tab w:val="left" w:pos="643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ConsPlusNormal1" w:customStyle="1">
    <w:name w:val="ConsPlusNormal"/>
    <w:link w:val="ConsPlusNormal0"/>
    <w:qFormat/>
    <w:rsid w:val="00033e23"/>
    <w:pPr>
      <w:widowControl w:val="false"/>
      <w:bidi w:val="0"/>
      <w:spacing w:lineRule="auto" w:line="240" w:before="0" w:after="0"/>
      <w:ind w:firstLine="720"/>
      <w:jc w:val="center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033e23"/>
    <w:pPr>
      <w:widowControl w:val="false"/>
      <w:bidi w:val="0"/>
      <w:spacing w:lineRule="auto" w:line="240" w:before="0" w:after="0"/>
      <w:jc w:val="center"/>
    </w:pPr>
    <w:rPr>
      <w:rFonts w:ascii="Arial" w:hAnsi="Arial" w:eastAsia="Times New Roman" w:cs="Arial"/>
      <w:b/>
      <w:bCs/>
      <w:color w:val="auto"/>
      <w:sz w:val="20"/>
      <w:szCs w:val="20"/>
      <w:lang w:eastAsia="ru-RU" w:val="ru-RU" w:bidi="ar-SA"/>
    </w:rPr>
  </w:style>
  <w:style w:type="paragraph" w:styleId="ConsPlusNonformat1" w:customStyle="1">
    <w:name w:val="ConsPlusNonformat"/>
    <w:link w:val="ConsPlusNonformat0"/>
    <w:qFormat/>
    <w:rsid w:val="00033e23"/>
    <w:pPr>
      <w:widowControl w:val="false"/>
      <w:bidi w:val="0"/>
      <w:spacing w:lineRule="auto" w:line="240" w:before="0" w:after="0"/>
      <w:jc w:val="center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Cell" w:customStyle="1">
    <w:name w:val="ConsPlusCell"/>
    <w:uiPriority w:val="99"/>
    <w:qFormat/>
    <w:rsid w:val="00033e23"/>
    <w:pPr>
      <w:widowControl w:val="false"/>
      <w:bidi w:val="0"/>
      <w:spacing w:lineRule="auto" w:line="240" w:before="0" w:after="0"/>
      <w:jc w:val="center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033e23"/>
    <w:pPr>
      <w:widowControl w:val="false"/>
      <w:bidi w:val="0"/>
      <w:spacing w:lineRule="auto" w:line="240" w:before="0" w:after="0"/>
      <w:jc w:val="center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Style26">
    <w:name w:val="Body Text Indent"/>
    <w:basedOn w:val="Normal"/>
    <w:link w:val="a5"/>
    <w:rsid w:val="00033e23"/>
    <w:pPr>
      <w:ind w:firstLine="720"/>
      <w:jc w:val="both"/>
    </w:pPr>
    <w:rPr>
      <w:i/>
      <w:iCs/>
      <w:sz w:val="20"/>
      <w:szCs w:val="20"/>
    </w:rPr>
  </w:style>
  <w:style w:type="paragraph" w:styleId="S1" w:customStyle="1">
    <w:name w:val="s_1"/>
    <w:basedOn w:val="Normal"/>
    <w:qFormat/>
    <w:rsid w:val="00033e23"/>
    <w:pPr>
      <w:spacing w:beforeAutospacing="1" w:afterAutospacing="1"/>
      <w:ind w:firstLine="720"/>
      <w:jc w:val="both"/>
    </w:pPr>
    <w:rPr>
      <w:sz w:val="20"/>
      <w:szCs w:val="20"/>
    </w:rPr>
  </w:style>
  <w:style w:type="paragraph" w:styleId="Style27">
    <w:name w:val="Footer"/>
    <w:basedOn w:val="Normal"/>
    <w:link w:val="a7"/>
    <w:uiPriority w:val="99"/>
    <w:rsid w:val="00033e23"/>
    <w:pPr>
      <w:tabs>
        <w:tab w:val="center" w:pos="4677" w:leader="none"/>
        <w:tab w:val="right" w:pos="9355" w:leader="none"/>
      </w:tabs>
    </w:pPr>
    <w:rPr/>
  </w:style>
  <w:style w:type="paragraph" w:styleId="13" w:customStyle="1">
    <w:name w:val="Знак Знак Знак Знак Знак Знак1 Знак Знак Знак Знак"/>
    <w:basedOn w:val="Normal"/>
    <w:qFormat/>
    <w:rsid w:val="00033e2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8" w:customStyle="1">
    <w:name w:val="А. часть_раздела"/>
    <w:basedOn w:val="2"/>
    <w:autoRedefine/>
    <w:qFormat/>
    <w:rsid w:val="00033e23"/>
    <w:pPr>
      <w:tabs>
        <w:tab w:val="left" w:pos="1080" w:leader="none"/>
      </w:tabs>
      <w:spacing w:before="0" w:after="0"/>
    </w:pPr>
    <w:rPr>
      <w:rFonts w:ascii="Times New Roman" w:hAnsi="Times New Roman" w:cs="Times New Roman"/>
      <w:b w:val="false"/>
      <w:i w:val="false"/>
      <w:iCs w:val="false"/>
    </w:rPr>
  </w:style>
  <w:style w:type="paragraph" w:styleId="Style29" w:customStyle="1">
    <w:name w:val="Знак Знак"/>
    <w:basedOn w:val="Normal"/>
    <w:qFormat/>
    <w:rsid w:val="00033e2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30">
    <w:name w:val="Header"/>
    <w:basedOn w:val="Normal"/>
    <w:link w:val="ac"/>
    <w:rsid w:val="00033e23"/>
    <w:pPr>
      <w:tabs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link w:val="ae"/>
    <w:uiPriority w:val="99"/>
    <w:qFormat/>
    <w:rsid w:val="00033e23"/>
    <w:pPr/>
    <w:rPr>
      <w:sz w:val="20"/>
      <w:szCs w:val="20"/>
    </w:rPr>
  </w:style>
  <w:style w:type="paragraph" w:styleId="14" w:customStyle="1">
    <w:name w:val="Знак1"/>
    <w:basedOn w:val="Normal"/>
    <w:qFormat/>
    <w:rsid w:val="00033e23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af0"/>
    <w:qFormat/>
    <w:rsid w:val="00033e23"/>
    <w:pPr/>
    <w:rPr>
      <w:rFonts w:ascii="Tahoma" w:hAnsi="Tahoma" w:cs="Tahoma"/>
      <w:sz w:val="16"/>
      <w:szCs w:val="16"/>
    </w:rPr>
  </w:style>
  <w:style w:type="paragraph" w:styleId="34" w:customStyle="1">
    <w:name w:val="Стиль3 Знак Знак"/>
    <w:qFormat/>
    <w:rsid w:val="00033e23"/>
    <w:pPr>
      <w:widowControl w:val="false"/>
      <w:tabs>
        <w:tab w:val="left" w:pos="227" w:leader="none"/>
      </w:tabs>
      <w:spacing w:lineRule="auto" w:line="240" w:before="0" w:after="0"/>
      <w:ind w:left="0" w:hanging="0"/>
      <w:jc w:val="both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0"/>
      <w:lang w:val="ru-RU" w:eastAsia="en-US" w:bidi="ar-SA"/>
    </w:rPr>
  </w:style>
  <w:style w:type="paragraph" w:styleId="BodyTextIndent2">
    <w:name w:val="Body Text Indent 2"/>
    <w:basedOn w:val="Normal"/>
    <w:link w:val="22"/>
    <w:unhideWhenUsed/>
    <w:qFormat/>
    <w:rsid w:val="00033e23"/>
    <w:pPr>
      <w:spacing w:lineRule="auto" w:line="480" w:before="0" w:after="120"/>
      <w:ind w:left="283" w:hanging="0"/>
    </w:pPr>
    <w:rPr/>
  </w:style>
  <w:style w:type="paragraph" w:styleId="15" w:customStyle="1">
    <w:name w:val="Обычный1"/>
    <w:qFormat/>
    <w:rsid w:val="00033e23"/>
    <w:pPr>
      <w:widowControl w:val="fals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paragraph" w:styleId="Style31" w:customStyle="1">
    <w:name w:val="Стиль Междустр.интервал:"/>
    <w:basedOn w:val="Normal"/>
    <w:qFormat/>
    <w:rsid w:val="00033e23"/>
    <w:pPr>
      <w:spacing w:lineRule="auto" w:line="480"/>
      <w:jc w:val="left"/>
    </w:pPr>
    <w:rPr>
      <w:szCs w:val="20"/>
    </w:rPr>
  </w:style>
  <w:style w:type="paragraph" w:styleId="PlainText">
    <w:name w:val="Plain Text"/>
    <w:basedOn w:val="Normal"/>
    <w:link w:val="af7"/>
    <w:uiPriority w:val="99"/>
    <w:qFormat/>
    <w:rsid w:val="00033e23"/>
    <w:pPr>
      <w:jc w:val="left"/>
    </w:pPr>
    <w:rPr>
      <w:rFonts w:ascii="Courier New" w:hAnsi="Courier New"/>
      <w:sz w:val="20"/>
      <w:szCs w:val="20"/>
    </w:rPr>
  </w:style>
  <w:style w:type="paragraph" w:styleId="WW" w:customStyle="1">
    <w:name w:val="WW-Текст"/>
    <w:basedOn w:val="Normal"/>
    <w:qFormat/>
    <w:rsid w:val="00033e23"/>
    <w:pPr>
      <w:suppressAutoHyphens w:val="true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Style32">
    <w:name w:val="Title"/>
    <w:basedOn w:val="Normal"/>
    <w:link w:val="af9"/>
    <w:qFormat/>
    <w:rsid w:val="00033e23"/>
    <w:pPr/>
    <w:rPr>
      <w:sz w:val="32"/>
      <w:szCs w:val="20"/>
    </w:rPr>
  </w:style>
  <w:style w:type="paragraph" w:styleId="35" w:customStyle="1">
    <w:name w:val="Стиль3"/>
    <w:basedOn w:val="BodyTextIndent2"/>
    <w:qFormat/>
    <w:rsid w:val="00033e23"/>
    <w:pPr>
      <w:widowControl w:val="false"/>
      <w:tabs>
        <w:tab w:val="left" w:pos="1307" w:leader="none"/>
      </w:tabs>
      <w:spacing w:lineRule="auto" w:line="240" w:before="0" w:after="0"/>
      <w:ind w:left="1080" w:hanging="0"/>
      <w:jc w:val="both"/>
      <w:textAlignment w:val="baseline"/>
    </w:pPr>
    <w:rPr>
      <w:szCs w:val="20"/>
    </w:rPr>
  </w:style>
  <w:style w:type="paragraph" w:styleId="ListParagraph">
    <w:name w:val="List Paragraph"/>
    <w:basedOn w:val="Normal"/>
    <w:link w:val="afb"/>
    <w:uiPriority w:val="34"/>
    <w:qFormat/>
    <w:rsid w:val="00033e23"/>
    <w:pPr>
      <w:spacing w:before="0" w:after="0"/>
      <w:ind w:left="720" w:hanging="0"/>
      <w:contextualSpacing/>
    </w:pPr>
    <w:rPr/>
  </w:style>
  <w:style w:type="paragraph" w:styleId="Style101" w:customStyle="1">
    <w:name w:val="Style10"/>
    <w:basedOn w:val="Normal"/>
    <w:qFormat/>
    <w:rsid w:val="00033e23"/>
    <w:pPr>
      <w:widowControl w:val="false"/>
      <w:spacing w:lineRule="exact" w:line="324"/>
      <w:jc w:val="left"/>
    </w:pPr>
    <w:rPr/>
  </w:style>
  <w:style w:type="paragraph" w:styleId="Formattext" w:customStyle="1">
    <w:name w:val="formattext"/>
    <w:basedOn w:val="Normal"/>
    <w:qFormat/>
    <w:rsid w:val="00033e23"/>
    <w:pPr>
      <w:spacing w:beforeAutospacing="1" w:afterAutospacing="1"/>
      <w:jc w:val="left"/>
    </w:pPr>
    <w:rPr/>
  </w:style>
  <w:style w:type="paragraph" w:styleId="Default" w:customStyle="1">
    <w:name w:val="Default"/>
    <w:qFormat/>
    <w:rsid w:val="00033e2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033e23"/>
    <w:pPr>
      <w:widowControl w:val="false"/>
      <w:jc w:val="left"/>
    </w:pPr>
    <w:rPr>
      <w:rFonts w:ascii="Calibri" w:hAnsi="Calibri" w:eastAsia="Calibri"/>
      <w:sz w:val="22"/>
      <w:szCs w:val="22"/>
      <w:lang w:val="en-US" w:eastAsia="en-US"/>
    </w:rPr>
  </w:style>
  <w:style w:type="paragraph" w:styleId="Style121" w:customStyle="1">
    <w:name w:val="Style12"/>
    <w:basedOn w:val="Normal"/>
    <w:qFormat/>
    <w:rsid w:val="00033e23"/>
    <w:pPr>
      <w:widowControl w:val="false"/>
      <w:spacing w:lineRule="exact" w:line="326"/>
      <w:jc w:val="left"/>
    </w:pPr>
    <w:rPr/>
  </w:style>
  <w:style w:type="paragraph" w:styleId="Style71" w:customStyle="1">
    <w:name w:val="Style7"/>
    <w:basedOn w:val="Normal"/>
    <w:qFormat/>
    <w:rsid w:val="00033e23"/>
    <w:pPr>
      <w:widowControl w:val="false"/>
      <w:spacing w:lineRule="exact" w:line="325"/>
      <w:jc w:val="both"/>
    </w:pPr>
    <w:rPr/>
  </w:style>
  <w:style w:type="paragraph" w:styleId="16" w:customStyle="1">
    <w:name w:val="Стиль1"/>
    <w:basedOn w:val="Normal"/>
    <w:uiPriority w:val="99"/>
    <w:qFormat/>
    <w:rsid w:val="00033e23"/>
    <w:pPr>
      <w:keepNext/>
      <w:keepLines/>
      <w:widowControl w:val="false"/>
      <w:suppressLineNumbers/>
      <w:suppressAutoHyphens w:val="true"/>
      <w:spacing w:before="0" w:after="60"/>
      <w:jc w:val="left"/>
    </w:pPr>
    <w:rPr>
      <w:b/>
      <w:bCs/>
      <w:sz w:val="28"/>
      <w:szCs w:val="28"/>
    </w:rPr>
  </w:style>
  <w:style w:type="paragraph" w:styleId="36" w:customStyle="1">
    <w:name w:val="Стиль3 Знак"/>
    <w:basedOn w:val="BodyTextIndent2"/>
    <w:uiPriority w:val="99"/>
    <w:qFormat/>
    <w:rsid w:val="00033e23"/>
    <w:pPr>
      <w:widowControl w:val="false"/>
      <w:tabs>
        <w:tab w:val="left" w:pos="360" w:leader="none"/>
      </w:tabs>
      <w:spacing w:lineRule="auto" w:line="240" w:before="0" w:after="0"/>
      <w:ind w:left="283" w:hanging="0"/>
      <w:jc w:val="both"/>
    </w:pPr>
    <w:rPr>
      <w:rFonts w:ascii="Arial" w:hAnsi="Arial" w:cs="Arial"/>
    </w:rPr>
  </w:style>
  <w:style w:type="paragraph" w:styleId="211" w:customStyle="1">
    <w:name w:val="Основной текст с отступом 21"/>
    <w:basedOn w:val="Normal"/>
    <w:qFormat/>
    <w:rsid w:val="00033e23"/>
    <w:pPr>
      <w:ind w:left="5040" w:hanging="5040"/>
      <w:jc w:val="left"/>
    </w:pPr>
    <w:rPr>
      <w:rFonts w:cs="Calibri"/>
      <w:sz w:val="28"/>
      <w:szCs w:val="20"/>
      <w:lang w:eastAsia="ar-SA"/>
    </w:rPr>
  </w:style>
  <w:style w:type="paragraph" w:styleId="17" w:customStyle="1">
    <w:name w:val="Без интервала1"/>
    <w:qFormat/>
    <w:rsid w:val="00033e23"/>
    <w:pPr>
      <w:widowControl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sz w:val="24"/>
      <w:szCs w:val="24"/>
      <w:lang w:eastAsia="ru-RU" w:val="ru-RU" w:bidi="ar-SA"/>
    </w:rPr>
  </w:style>
  <w:style w:type="paragraph" w:styleId="37" w:customStyle="1">
    <w:name w:val="Знак Знак Знак3 Знак"/>
    <w:basedOn w:val="Normal"/>
    <w:qFormat/>
    <w:rsid w:val="00033e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38" w:customStyle="1">
    <w:name w:val="Знак3"/>
    <w:basedOn w:val="Normal"/>
    <w:qFormat/>
    <w:rsid w:val="00033e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210" w:customStyle="1">
    <w:name w:val="Style2"/>
    <w:basedOn w:val="Normal"/>
    <w:uiPriority w:val="99"/>
    <w:qFormat/>
    <w:rsid w:val="00033e23"/>
    <w:pPr>
      <w:widowControl w:val="false"/>
      <w:spacing w:lineRule="exact" w:line="329"/>
      <w:jc w:val="both"/>
    </w:pPr>
    <w:rPr/>
  </w:style>
  <w:style w:type="paragraph" w:styleId="Style33" w:customStyle="1">
    <w:name w:val="Style3"/>
    <w:basedOn w:val="Normal"/>
    <w:qFormat/>
    <w:rsid w:val="00033e23"/>
    <w:pPr>
      <w:widowControl w:val="false"/>
      <w:spacing w:lineRule="exact" w:line="326"/>
      <w:jc w:val="left"/>
    </w:pPr>
    <w:rPr/>
  </w:style>
  <w:style w:type="paragraph" w:styleId="Style61" w:customStyle="1">
    <w:name w:val="Style6"/>
    <w:basedOn w:val="Normal"/>
    <w:qFormat/>
    <w:rsid w:val="00033e23"/>
    <w:pPr>
      <w:widowControl w:val="false"/>
      <w:spacing w:lineRule="exact" w:line="324"/>
      <w:jc w:val="left"/>
    </w:pPr>
    <w:rPr/>
  </w:style>
  <w:style w:type="paragraph" w:styleId="BodyText3">
    <w:name w:val="Body Text 3"/>
    <w:basedOn w:val="Normal"/>
    <w:link w:val="37"/>
    <w:qFormat/>
    <w:rsid w:val="00033e23"/>
    <w:pPr>
      <w:spacing w:before="0" w:after="120"/>
      <w:jc w:val="left"/>
    </w:pPr>
    <w:rPr>
      <w:sz w:val="16"/>
      <w:szCs w:val="16"/>
    </w:rPr>
  </w:style>
  <w:style w:type="paragraph" w:styleId="BodyTextIndent3">
    <w:name w:val="Body Text Indent 3"/>
    <w:basedOn w:val="Normal"/>
    <w:link w:val="39"/>
    <w:qFormat/>
    <w:rsid w:val="00033e23"/>
    <w:pPr>
      <w:spacing w:before="0" w:after="120"/>
      <w:ind w:left="283" w:hanging="0"/>
      <w:jc w:val="left"/>
    </w:pPr>
    <w:rPr>
      <w:sz w:val="16"/>
      <w:szCs w:val="16"/>
    </w:rPr>
  </w:style>
  <w:style w:type="paragraph" w:styleId="39" w:customStyle="1">
    <w:name w:val="Обычный3"/>
    <w:qFormat/>
    <w:rsid w:val="00033e2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033e2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11" w:customStyle="1">
    <w:name w:val="Заголовок №11"/>
    <w:basedOn w:val="Normal"/>
    <w:link w:val="16"/>
    <w:qFormat/>
    <w:rsid w:val="00033e23"/>
    <w:pPr>
      <w:widowControl w:val="false"/>
      <w:shd w:val="clear" w:color="auto" w:fill="FFFFFF"/>
      <w:spacing w:lineRule="atLeast" w:line="240" w:before="0" w:after="60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38"/>
      <w:szCs w:val="38"/>
      <w:lang w:eastAsia="en-US"/>
    </w:rPr>
  </w:style>
  <w:style w:type="paragraph" w:styleId="NormalWeb">
    <w:name w:val="Normal (Web)"/>
    <w:basedOn w:val="Normal"/>
    <w:unhideWhenUsed/>
    <w:qFormat/>
    <w:rsid w:val="00033e23"/>
    <w:pPr>
      <w:spacing w:beforeAutospacing="1" w:afterAutospacing="1"/>
      <w:jc w:val="left"/>
    </w:pPr>
    <w:rPr/>
  </w:style>
  <w:style w:type="paragraph" w:styleId="23" w:customStyle="1">
    <w:name w:val="Абзац списка2"/>
    <w:basedOn w:val="Normal"/>
    <w:link w:val="ListParagraphChar1"/>
    <w:qFormat/>
    <w:rsid w:val="00033e23"/>
    <w:pPr>
      <w:ind w:left="720" w:hanging="0"/>
      <w:jc w:val="left"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paragraph" w:styleId="Style34">
    <w:name w:val="Содержимое таблицы"/>
    <w:basedOn w:val="Normal"/>
    <w:qFormat/>
    <w:pPr/>
    <w:rPr/>
  </w:style>
  <w:style w:type="paragraph" w:styleId="Style35">
    <w:name w:val="Заголовок таблицы"/>
    <w:basedOn w:val="Style34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33e2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  <Pages>11</Pages>
  <Words>3285</Words>
  <Characters>24675</Characters>
  <CharactersWithSpaces>27984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2019-08-28T09:58:00Z</dcterms:created>
  <dc:creator>REPENKO</dc:creator>
  <dc:description/>
  <dc:language>ru-RU</dc:language>
  <cp:lastModifiedBy/>
  <cp:lastPrinted>2019-08-12T13:36:00Z</cp:lastPrinted>
  <dcterms:modified xsi:type="dcterms:W3CDTF">2019-09-10T21:18:52Z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