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Вид посуды: Стакан. </w:t>
      </w:r>
    </w:p>
    <w:p>
      <w:pPr>
        <w:pStyle w:val="Normal"/>
        <w:rPr/>
      </w:pPr>
      <w:r>
        <w:rPr/>
        <w:t xml:space="preserve">Стакан теплоизолирующий: Нет. </w:t>
      </w:r>
    </w:p>
    <w:p>
      <w:pPr>
        <w:pStyle w:val="Normal"/>
        <w:rPr/>
      </w:pPr>
      <w:r>
        <w:rPr/>
        <w:t xml:space="preserve">Наличие крышки: Нет. </w:t>
      </w:r>
    </w:p>
    <w:p>
      <w:pPr>
        <w:pStyle w:val="Normal"/>
        <w:rPr/>
      </w:pPr>
      <w:r>
        <w:rPr/>
        <w:t xml:space="preserve">Форма корпуса: Круглая. </w:t>
      </w:r>
    </w:p>
    <w:p>
      <w:pPr>
        <w:pStyle w:val="Normal"/>
        <w:rPr/>
      </w:pPr>
      <w:r>
        <w:rPr/>
        <w:t xml:space="preserve">Признак биоразлагаемости: Нет. </w:t>
      </w:r>
    </w:p>
    <w:p>
      <w:pPr>
        <w:pStyle w:val="Normal"/>
        <w:rPr/>
      </w:pPr>
      <w:r>
        <w:rPr/>
        <w:t xml:space="preserve">Наличие декоративной отделки: Нет. </w:t>
      </w:r>
    </w:p>
    <w:p>
      <w:pPr>
        <w:pStyle w:val="Normal"/>
        <w:rPr/>
      </w:pPr>
      <w:r>
        <w:rPr/>
        <w:t xml:space="preserve">Назначение стакана/чашки: Для горячих и холодных напитков. </w:t>
      </w:r>
    </w:p>
    <w:p>
      <w:pPr>
        <w:pStyle w:val="Normal"/>
        <w:rPr/>
      </w:pPr>
      <w:r>
        <w:rPr/>
        <w:t xml:space="preserve">Объем, мл: Больше или равно 200. </w:t>
      </w:r>
    </w:p>
    <w:p>
      <w:pPr>
        <w:pStyle w:val="Normal"/>
        <w:rPr/>
      </w:pPr>
      <w:r>
        <w:rPr/>
        <w:t>Цвет: Прозрачный.</w:t>
      </w:r>
    </w:p>
    <w:p>
      <w:pPr>
        <w:pStyle w:val="Normal"/>
        <w:rPr/>
      </w:pPr>
      <w:r>
        <w:rPr/>
        <w:t>Необходимые документы товарные накладные ТОРГ-12;● счет-фактура (за исключением лиц, применяющих специальные налоговые режимы и не являющихся плательщиками НДС); ● обязательные для данной группы товаров сертификаты соответствия (декларации о соответствии) Товара; ● оригиналы документов, относящиеся к Товару (паспорт, инструкция по эксплуатации и т.п.);● оригиналы документов, подтверждающие гарантийные обязательства Поставщика и производителя Товара; ● оригинал подписанной заявки на поставку Товара;● иные документы, подтверждающие качество Товара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 CYR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2671f"/>
    <w:pPr>
      <w:widowControl/>
      <w:bidi w:val="0"/>
      <w:spacing w:lineRule="auto" w:line="240" w:before="0" w:after="0"/>
      <w:jc w:val="left"/>
    </w:pPr>
    <w:rPr>
      <w:rFonts w:ascii="Times New Roman CYR" w:hAnsi="Times New Roman CYR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paragraph" w:styleId="Style19">
    <w:name w:val="Содержимое таблицы"/>
    <w:basedOn w:val="Normal"/>
    <w:qFormat/>
    <w:pPr/>
    <w:rPr/>
  </w:style>
  <w:style w:type="paragraph" w:styleId="Style20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LibreOffice/5.1.6.2$Linux_X86_64 LibreOffice_project/10m0$Build-2</Application>
  <Pages>1</Pages>
  <Words>97</Words>
  <Characters>726</Characters>
  <CharactersWithSpaces>821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2019-09-04T19:15:00Z</dcterms:created>
  <dc:creator>Пользователь Windows</dc:creator>
  <dc:description/>
  <dc:language>ru-RU</dc:language>
  <cp:lastModifiedBy/>
  <dcterms:modified xsi:type="dcterms:W3CDTF">2019-09-12T16:03:26Z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