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5F" w:rsidRDefault="00033B5F">
      <w:pPr>
        <w:jc w:val="right"/>
      </w:pPr>
    </w:p>
    <w:p w:rsidR="00033B5F" w:rsidRPr="00CD41A8" w:rsidRDefault="00CD41A8">
      <w:pPr>
        <w:jc w:val="center"/>
        <w:rPr>
          <w:b/>
        </w:rPr>
      </w:pPr>
      <w:r w:rsidRPr="00CD41A8">
        <w:rPr>
          <w:b/>
        </w:rPr>
        <w:t>Техническое задание</w:t>
      </w:r>
    </w:p>
    <w:p w:rsidR="00033B5F" w:rsidRDefault="00033B5F">
      <w:pPr>
        <w:jc w:val="center"/>
      </w:pPr>
    </w:p>
    <w:p w:rsidR="00033B5F" w:rsidRDefault="00033B5F">
      <w:pPr>
        <w:pStyle w:val="a3"/>
        <w:widowControl/>
        <w:ind w:right="-2"/>
        <w:rPr>
          <w:rFonts w:ascii="Times New Roman" w:hAnsi="Times New Roman"/>
        </w:rPr>
      </w:pPr>
    </w:p>
    <w:p w:rsidR="00033B5F" w:rsidRDefault="00033B5F">
      <w:pPr>
        <w:pStyle w:val="a3"/>
        <w:widowControl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2167"/>
        <w:gridCol w:w="2062"/>
      </w:tblGrid>
      <w:tr w:rsidR="00471A3B" w:rsidRPr="00471A3B" w:rsidTr="0046251B">
        <w:trPr>
          <w:jc w:val="center"/>
        </w:trPr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Наименование товара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color w:val="auto"/>
                <w:szCs w:val="24"/>
                <w:lang w:eastAsia="en-US"/>
              </w:rPr>
              <w:t>Ед. изм.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Кол - </w:t>
            </w:r>
            <w:proofErr w:type="gramStart"/>
            <w:r w:rsidRPr="00471A3B">
              <w:rPr>
                <w:rFonts w:eastAsia="Calibri"/>
                <w:b/>
                <w:color w:val="auto"/>
                <w:szCs w:val="24"/>
                <w:lang w:eastAsia="en-US"/>
              </w:rPr>
              <w:t>во</w:t>
            </w:r>
            <w:proofErr w:type="gramEnd"/>
          </w:p>
        </w:tc>
      </w:tr>
      <w:tr w:rsidR="00471A3B" w:rsidRPr="00471A3B" w:rsidTr="0046251B">
        <w:trPr>
          <w:jc w:val="center"/>
        </w:trPr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Дизельный генератор открытый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</w:tr>
    </w:tbl>
    <w:p w:rsidR="00471A3B" w:rsidRPr="00471A3B" w:rsidRDefault="00471A3B" w:rsidP="00471A3B">
      <w:pPr>
        <w:suppressAutoHyphens w:val="0"/>
        <w:spacing w:after="160" w:line="259" w:lineRule="auto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5076"/>
      </w:tblGrid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Основные характеристики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Основная мощность  кВт/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кВА</w:t>
            </w:r>
            <w:proofErr w:type="spell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200/250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Резервная мощность кВт/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кВА</w:t>
            </w:r>
            <w:proofErr w:type="spell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220/275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Род тока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переменный, не менее 3-фазный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Напряжение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230/400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Частота 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Гц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50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Номинальная сила тока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360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Расход топлива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При 100% мощности 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>/ч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56,1 и не более 65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При 75% мощности     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>/ч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42,6 и не более 52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При 50% мощности 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>/ч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29,3 и не более 30</w:t>
            </w:r>
          </w:p>
        </w:tc>
      </w:tr>
      <w:tr w:rsidR="00471A3B" w:rsidRPr="00471A3B" w:rsidTr="0046251B">
        <w:trPr>
          <w:trHeight w:val="945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Автономная работа от встроенного топливного бака, при 75% 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мощ</w:t>
            </w:r>
            <w:proofErr w:type="spell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>.  ч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6,5 и не более 8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Удельный расход масла на угар (100% ном</w:t>
            </w:r>
            <w:proofErr w:type="gramStart"/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.</w:t>
            </w:r>
            <w:proofErr w:type="gramEnd"/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м</w:t>
            </w:r>
            <w:proofErr w:type="gramEnd"/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ощн</w:t>
            </w:r>
            <w:proofErr w:type="spellEnd"/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.)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относительно расхода топлива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0.2 %</w:t>
            </w:r>
          </w:p>
        </w:tc>
      </w:tr>
      <w:tr w:rsidR="00471A3B" w:rsidRPr="00471A3B" w:rsidTr="0046251B">
        <w:trPr>
          <w:trHeight w:val="630"/>
        </w:trPr>
        <w:tc>
          <w:tcPr>
            <w:tcW w:w="2498" w:type="pct"/>
            <w:shd w:val="clear" w:color="auto" w:fill="auto"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период замены</w:t>
            </w:r>
            <w:r w:rsidRPr="00471A3B">
              <w:rPr>
                <w:rFonts w:eastAsia="Calibri"/>
                <w:color w:val="auto"/>
                <w:szCs w:val="24"/>
                <w:lang w:eastAsia="en-US"/>
              </w:rPr>
              <w:br/>
              <w:t xml:space="preserve">моторного масла 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не менее 250 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моточасов</w:t>
            </w:r>
            <w:proofErr w:type="spellEnd"/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Рабочий ресурс двигателя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не менее 15000 и не более 20000 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моточасов</w:t>
            </w:r>
            <w:proofErr w:type="spellEnd"/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Характеристики двигателя</w:t>
            </w:r>
          </w:p>
        </w:tc>
      </w:tr>
      <w:tr w:rsidR="00471A3B" w:rsidRPr="00471A3B" w:rsidTr="0046251B">
        <w:trPr>
          <w:trHeight w:val="630"/>
        </w:trPr>
        <w:tc>
          <w:tcPr>
            <w:tcW w:w="2498" w:type="pct"/>
            <w:shd w:val="clear" w:color="auto" w:fill="auto"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Тип двигателя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дизельный, не менее  4-тактный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Основная мощность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286,7 кВт</w:t>
            </w:r>
          </w:p>
        </w:tc>
      </w:tr>
      <w:tr w:rsidR="00471A3B" w:rsidRPr="00471A3B" w:rsidTr="0046251B">
        <w:trPr>
          <w:trHeight w:val="376"/>
        </w:trPr>
        <w:tc>
          <w:tcPr>
            <w:tcW w:w="2498" w:type="pct"/>
            <w:shd w:val="clear" w:color="auto" w:fill="auto"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Рабочий объём двигателя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14,86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Число, расположение цилиндров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не менее 8 V-образное, 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Диаметр цилиндра / ход поршня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130 / 140 </w:t>
            </w:r>
          </w:p>
        </w:tc>
      </w:tr>
      <w:tr w:rsidR="00471A3B" w:rsidRPr="00471A3B" w:rsidTr="0046251B">
        <w:trPr>
          <w:trHeight w:val="365"/>
        </w:trPr>
        <w:tc>
          <w:tcPr>
            <w:tcW w:w="2498" w:type="pct"/>
            <w:shd w:val="clear" w:color="auto" w:fill="auto"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Степень сжатия</w:t>
            </w:r>
          </w:p>
        </w:tc>
        <w:tc>
          <w:tcPr>
            <w:tcW w:w="2502" w:type="pct"/>
            <w:shd w:val="clear" w:color="auto" w:fill="auto"/>
            <w:noWrap/>
            <w:vAlign w:val="center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15,2:1 и не более 16.5:1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lastRenderedPageBreak/>
              <w:t xml:space="preserve">Характеристики генератора </w:t>
            </w:r>
          </w:p>
        </w:tc>
      </w:tr>
      <w:tr w:rsidR="00471A3B" w:rsidRPr="00471A3B" w:rsidTr="0046251B">
        <w:trPr>
          <w:trHeight w:val="94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Тип генератора переменного тока</w:t>
            </w:r>
          </w:p>
        </w:tc>
        <w:tc>
          <w:tcPr>
            <w:tcW w:w="2502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3-фазный, 4-полюсной, синхронный, бесщеточный, одноопорный, 50 Гц, 400/230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В</w:t>
            </w:r>
            <w:proofErr w:type="gramEnd"/>
          </w:p>
        </w:tc>
      </w:tr>
      <w:tr w:rsidR="00471A3B" w:rsidRPr="00471A3B" w:rsidTr="0046251B">
        <w:trPr>
          <w:trHeight w:val="378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Номинальная сила тока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360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Система возбуждения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независимое возбуждение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Степень защиты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IP23</w:t>
            </w:r>
          </w:p>
        </w:tc>
      </w:tr>
      <w:tr w:rsidR="00471A3B" w:rsidRPr="00471A3B" w:rsidTr="0046251B">
        <w:trPr>
          <w:trHeight w:val="367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Рабочий ресурс генератора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100 000 часов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Система управления</w:t>
            </w:r>
          </w:p>
        </w:tc>
      </w:tr>
      <w:tr w:rsidR="00471A3B" w:rsidRPr="00471A3B" w:rsidTr="0046251B">
        <w:trPr>
          <w:trHeight w:val="630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Пульт управления ДЭС</w:t>
            </w:r>
          </w:p>
        </w:tc>
        <w:tc>
          <w:tcPr>
            <w:tcW w:w="2502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цифровой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br/>
              <w:t xml:space="preserve">на контроллере </w:t>
            </w:r>
          </w:p>
        </w:tc>
      </w:tr>
      <w:tr w:rsidR="00471A3B" w:rsidRPr="00471A3B" w:rsidTr="0046251B">
        <w:trPr>
          <w:trHeight w:val="319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Автоматический ввод резерва (АВР)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наличие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Параллельная работа ДЭС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опционально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Заправочные емкости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Топливный бак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300 и не более 450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Система охлаждения,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58</w:t>
            </w:r>
          </w:p>
        </w:tc>
      </w:tr>
      <w:tr w:rsidR="00471A3B" w:rsidRPr="00471A3B" w:rsidTr="0046251B">
        <w:trPr>
          <w:trHeight w:val="301"/>
        </w:trPr>
        <w:tc>
          <w:tcPr>
            <w:tcW w:w="2498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Система смазки,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proofErr w:type="gramEnd"/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22</w:t>
            </w:r>
          </w:p>
        </w:tc>
      </w:tr>
      <w:tr w:rsidR="00471A3B" w:rsidRPr="00471A3B" w:rsidTr="0046251B">
        <w:trPr>
          <w:trHeight w:val="315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Аккумуляторные батареи (АКБ)</w:t>
            </w:r>
          </w:p>
        </w:tc>
        <w:tc>
          <w:tcPr>
            <w:tcW w:w="2502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2 x 190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А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>*ч</w:t>
            </w:r>
          </w:p>
        </w:tc>
      </w:tr>
      <w:tr w:rsidR="00471A3B" w:rsidRPr="00471A3B" w:rsidTr="0046251B">
        <w:trPr>
          <w:trHeight w:val="31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Прочее оборудование</w:t>
            </w:r>
          </w:p>
        </w:tc>
      </w:tr>
      <w:tr w:rsidR="00471A3B" w:rsidRPr="00471A3B" w:rsidTr="0046251B">
        <w:trPr>
          <w:trHeight w:val="221"/>
        </w:trPr>
        <w:tc>
          <w:tcPr>
            <w:tcW w:w="2498" w:type="pct"/>
            <w:shd w:val="clear" w:color="auto" w:fill="auto"/>
            <w:noWrap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Защита генератора</w:t>
            </w:r>
          </w:p>
        </w:tc>
        <w:tc>
          <w:tcPr>
            <w:tcW w:w="2502" w:type="pct"/>
            <w:shd w:val="clear" w:color="auto" w:fill="auto"/>
            <w:hideMark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3-фазный автомат защиты с </w:t>
            </w:r>
            <w:proofErr w:type="gram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независимым</w:t>
            </w:r>
            <w:proofErr w:type="gramEnd"/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71A3B">
              <w:rPr>
                <w:rFonts w:eastAsia="Calibri"/>
                <w:color w:val="auto"/>
                <w:szCs w:val="24"/>
                <w:lang w:eastAsia="en-US"/>
              </w:rPr>
              <w:t>расцепителем</w:t>
            </w:r>
            <w:proofErr w:type="spellEnd"/>
          </w:p>
        </w:tc>
      </w:tr>
      <w:tr w:rsidR="00471A3B" w:rsidRPr="00471A3B" w:rsidTr="0046251B">
        <w:trPr>
          <w:trHeight w:val="453"/>
        </w:trPr>
        <w:tc>
          <w:tcPr>
            <w:tcW w:w="5000" w:type="pct"/>
            <w:gridSpan w:val="2"/>
            <w:shd w:val="clear" w:color="auto" w:fill="auto"/>
            <w:noWrap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Габаритные размеры </w:t>
            </w:r>
          </w:p>
        </w:tc>
      </w:tr>
      <w:tr w:rsidR="00471A3B" w:rsidRPr="00471A3B" w:rsidTr="0046251B">
        <w:trPr>
          <w:trHeight w:val="395"/>
        </w:trPr>
        <w:tc>
          <w:tcPr>
            <w:tcW w:w="2498" w:type="pct"/>
            <w:shd w:val="clear" w:color="auto" w:fill="auto"/>
            <w:noWrap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длина</w:t>
            </w:r>
          </w:p>
        </w:tc>
        <w:tc>
          <w:tcPr>
            <w:tcW w:w="2502" w:type="pct"/>
            <w:shd w:val="clear" w:color="auto" w:fill="auto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3000 мм и не более 4000 мм</w:t>
            </w:r>
          </w:p>
        </w:tc>
      </w:tr>
      <w:tr w:rsidR="00471A3B" w:rsidRPr="00471A3B" w:rsidTr="0046251B">
        <w:trPr>
          <w:trHeight w:val="401"/>
        </w:trPr>
        <w:tc>
          <w:tcPr>
            <w:tcW w:w="2498" w:type="pct"/>
            <w:shd w:val="clear" w:color="auto" w:fill="auto"/>
            <w:noWrap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ширина</w:t>
            </w:r>
          </w:p>
        </w:tc>
        <w:tc>
          <w:tcPr>
            <w:tcW w:w="2502" w:type="pct"/>
            <w:shd w:val="clear" w:color="auto" w:fill="auto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1000 мм и не более 2000 мм</w:t>
            </w:r>
          </w:p>
        </w:tc>
      </w:tr>
      <w:tr w:rsidR="00471A3B" w:rsidRPr="00471A3B" w:rsidTr="0046251B">
        <w:trPr>
          <w:trHeight w:val="422"/>
        </w:trPr>
        <w:tc>
          <w:tcPr>
            <w:tcW w:w="2498" w:type="pct"/>
            <w:shd w:val="clear" w:color="auto" w:fill="auto"/>
            <w:noWrap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 xml:space="preserve">высота </w:t>
            </w:r>
          </w:p>
        </w:tc>
        <w:tc>
          <w:tcPr>
            <w:tcW w:w="2502" w:type="pct"/>
            <w:shd w:val="clear" w:color="auto" w:fill="auto"/>
          </w:tcPr>
          <w:p w:rsidR="00471A3B" w:rsidRPr="00471A3B" w:rsidRDefault="00471A3B" w:rsidP="00471A3B">
            <w:pPr>
              <w:suppressAutoHyphens w:val="0"/>
              <w:spacing w:after="160" w:line="259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471A3B">
              <w:rPr>
                <w:rFonts w:eastAsia="Calibri"/>
                <w:color w:val="auto"/>
                <w:szCs w:val="24"/>
                <w:lang w:eastAsia="en-US"/>
              </w:rPr>
              <w:t>не менее 1500 мм и не более 2000 мм</w:t>
            </w:r>
          </w:p>
        </w:tc>
      </w:tr>
    </w:tbl>
    <w:p w:rsidR="00033B5F" w:rsidRDefault="00033B5F">
      <w:pPr>
        <w:jc w:val="both"/>
      </w:pPr>
    </w:p>
    <w:p w:rsidR="000C6485" w:rsidRDefault="000C6485">
      <w:pPr>
        <w:jc w:val="both"/>
      </w:pPr>
    </w:p>
    <w:p w:rsidR="000C6485" w:rsidRDefault="000C6485">
      <w:pPr>
        <w:jc w:val="both"/>
      </w:pPr>
      <w:r>
        <w:t xml:space="preserve">Адрес доставки: г. </w:t>
      </w:r>
      <w:r w:rsidRPr="000C6485">
        <w:rPr>
          <w:szCs w:val="24"/>
          <w:shd w:val="clear" w:color="auto" w:fill="FFFFFF"/>
        </w:rPr>
        <w:t>Чита, ул. Олимпийская, 3.</w:t>
      </w:r>
      <w:bookmarkStart w:id="0" w:name="_GoBack"/>
      <w:bookmarkEnd w:id="0"/>
    </w:p>
    <w:sectPr w:rsidR="000C6485">
      <w:footerReference w:type="even" r:id="rId8"/>
      <w:pgSz w:w="11906" w:h="16838"/>
      <w:pgMar w:top="1077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B5" w:rsidRDefault="00BB3FB5">
      <w:r>
        <w:separator/>
      </w:r>
    </w:p>
  </w:endnote>
  <w:endnote w:type="continuationSeparator" w:id="0">
    <w:p w:rsidR="00BB3FB5" w:rsidRDefault="00B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F" w:rsidRDefault="004C605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033B5F" w:rsidRDefault="00033B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B5" w:rsidRDefault="00BB3FB5">
      <w:r>
        <w:separator/>
      </w:r>
    </w:p>
  </w:footnote>
  <w:footnote w:type="continuationSeparator" w:id="0">
    <w:p w:rsidR="00BB3FB5" w:rsidRDefault="00BB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AD28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B6F614B"/>
    <w:multiLevelType w:val="hybridMultilevel"/>
    <w:tmpl w:val="AD9E039E"/>
    <w:lvl w:ilvl="0" w:tplc="E18C3B3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5F"/>
    <w:rsid w:val="00033B5F"/>
    <w:rsid w:val="000C6485"/>
    <w:rsid w:val="00140C2C"/>
    <w:rsid w:val="00471A3B"/>
    <w:rsid w:val="004C6056"/>
    <w:rsid w:val="00552C2A"/>
    <w:rsid w:val="00710C15"/>
    <w:rsid w:val="0071254B"/>
    <w:rsid w:val="00793A2F"/>
    <w:rsid w:val="007B50FC"/>
    <w:rsid w:val="007D7111"/>
    <w:rsid w:val="00BB3FB5"/>
    <w:rsid w:val="00CD41A8"/>
    <w:rsid w:val="00E4752D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 БО"/>
    <w:basedOn w:val="a"/>
    <w:pPr>
      <w:widowControl w:val="0"/>
      <w:jc w:val="both"/>
    </w:pPr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rFonts w:ascii="Arial" w:hAnsi="Arial"/>
      <w:noProof/>
      <w:sz w:val="20"/>
    </w:rPr>
  </w:style>
  <w:style w:type="paragraph" w:customStyle="1" w:styleId="3">
    <w:name w:val="Обычный3"/>
    <w:pPr>
      <w:suppressAutoHyphens/>
    </w:pPr>
    <w:rPr>
      <w:rFonts w:ascii="Times New Roman" w:hAnsi="Times New Roman"/>
      <w:sz w:val="24"/>
    </w:rPr>
  </w:style>
  <w:style w:type="paragraph" w:customStyle="1" w:styleId="2">
    <w:name w:val="Обычный2"/>
    <w:pPr>
      <w:suppressAutoHyphens/>
    </w:pPr>
    <w:rPr>
      <w:rFonts w:ascii="Times New Roman" w:hAnsi="Times New Roman"/>
      <w:sz w:val="24"/>
    </w:rPr>
  </w:style>
  <w:style w:type="paragraph" w:styleId="aa">
    <w:name w:val="TOC Heading"/>
    <w:basedOn w:val="1"/>
    <w:next w:val="a"/>
    <w:semiHidden/>
    <w:qFormat/>
    <w:pPr>
      <w:keepLines/>
      <w:suppressAutoHyphens w:val="0"/>
      <w:spacing w:before="480" w:after="0" w:line="276" w:lineRule="auto"/>
    </w:pPr>
    <w:rPr>
      <w:color w:val="365F91"/>
      <w:sz w:val="28"/>
      <w:lang w:eastAsia="ru-RU"/>
    </w:rPr>
  </w:style>
  <w:style w:type="paragraph" w:styleId="11">
    <w:name w:val="toc 1"/>
    <w:basedOn w:val="a"/>
    <w:next w:val="a"/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page number"/>
  </w:style>
  <w:style w:type="character" w:customStyle="1" w:styleId="a5">
    <w:name w:val="Основной текст с отступом Знак"/>
    <w:link w:val="a4"/>
    <w:semiHidden/>
  </w:style>
  <w:style w:type="character" w:customStyle="1" w:styleId="a7">
    <w:name w:val="Нижний колонтитул Знак"/>
    <w:link w:val="a6"/>
  </w:style>
  <w:style w:type="character" w:customStyle="1" w:styleId="labelbodytext11">
    <w:name w:val="label_body_text_11"/>
    <w:rPr>
      <w:color w:val="0000FF"/>
      <w:sz w:val="20"/>
    </w:rPr>
  </w:style>
  <w:style w:type="character" w:customStyle="1" w:styleId="a9">
    <w:name w:val="Верхний колонтитул Знак"/>
    <w:link w:val="a8"/>
    <w:rPr>
      <w:rFonts w:ascii="Arial" w:hAnsi="Arial"/>
      <w:noProof/>
      <w:sz w:val="20"/>
    </w:rPr>
  </w:style>
  <w:style w:type="character" w:customStyle="1" w:styleId="12">
    <w:name w:val="Основной шрифт абзаца1"/>
    <w:rPr>
      <w:sz w:val="24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 БО"/>
    <w:basedOn w:val="a"/>
    <w:pPr>
      <w:widowControl w:val="0"/>
      <w:jc w:val="both"/>
    </w:pPr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rFonts w:ascii="Arial" w:hAnsi="Arial"/>
      <w:noProof/>
      <w:sz w:val="20"/>
    </w:rPr>
  </w:style>
  <w:style w:type="paragraph" w:customStyle="1" w:styleId="3">
    <w:name w:val="Обычный3"/>
    <w:pPr>
      <w:suppressAutoHyphens/>
    </w:pPr>
    <w:rPr>
      <w:rFonts w:ascii="Times New Roman" w:hAnsi="Times New Roman"/>
      <w:sz w:val="24"/>
    </w:rPr>
  </w:style>
  <w:style w:type="paragraph" w:customStyle="1" w:styleId="2">
    <w:name w:val="Обычный2"/>
    <w:pPr>
      <w:suppressAutoHyphens/>
    </w:pPr>
    <w:rPr>
      <w:rFonts w:ascii="Times New Roman" w:hAnsi="Times New Roman"/>
      <w:sz w:val="24"/>
    </w:rPr>
  </w:style>
  <w:style w:type="paragraph" w:styleId="aa">
    <w:name w:val="TOC Heading"/>
    <w:basedOn w:val="1"/>
    <w:next w:val="a"/>
    <w:semiHidden/>
    <w:qFormat/>
    <w:pPr>
      <w:keepLines/>
      <w:suppressAutoHyphens w:val="0"/>
      <w:spacing w:before="480" w:after="0" w:line="276" w:lineRule="auto"/>
    </w:pPr>
    <w:rPr>
      <w:color w:val="365F91"/>
      <w:sz w:val="28"/>
      <w:lang w:eastAsia="ru-RU"/>
    </w:rPr>
  </w:style>
  <w:style w:type="paragraph" w:styleId="11">
    <w:name w:val="toc 1"/>
    <w:basedOn w:val="a"/>
    <w:next w:val="a"/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page number"/>
  </w:style>
  <w:style w:type="character" w:customStyle="1" w:styleId="a5">
    <w:name w:val="Основной текст с отступом Знак"/>
    <w:link w:val="a4"/>
    <w:semiHidden/>
  </w:style>
  <w:style w:type="character" w:customStyle="1" w:styleId="a7">
    <w:name w:val="Нижний колонтитул Знак"/>
    <w:link w:val="a6"/>
  </w:style>
  <w:style w:type="character" w:customStyle="1" w:styleId="labelbodytext11">
    <w:name w:val="label_body_text_11"/>
    <w:rPr>
      <w:color w:val="0000FF"/>
      <w:sz w:val="20"/>
    </w:rPr>
  </w:style>
  <w:style w:type="character" w:customStyle="1" w:styleId="a9">
    <w:name w:val="Верхний колонтитул Знак"/>
    <w:link w:val="a8"/>
    <w:rPr>
      <w:rFonts w:ascii="Arial" w:hAnsi="Arial"/>
      <w:noProof/>
      <w:sz w:val="20"/>
    </w:rPr>
  </w:style>
  <w:style w:type="character" w:customStyle="1" w:styleId="12">
    <w:name w:val="Основной шрифт абзаца1"/>
    <w:rPr>
      <w:sz w:val="24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Шайдурова</dc:creator>
  <cp:lastModifiedBy>Павел</cp:lastModifiedBy>
  <cp:revision>3</cp:revision>
  <dcterms:created xsi:type="dcterms:W3CDTF">2020-10-29T12:24:00Z</dcterms:created>
  <dcterms:modified xsi:type="dcterms:W3CDTF">2020-10-29T12:25:00Z</dcterms:modified>
</cp:coreProperties>
</file>