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971"/>
        <w:gridCol w:w="1559"/>
        <w:gridCol w:w="2268"/>
      </w:tblGrid>
      <w:tr w:rsidR="00B64942" w:rsidRPr="00BE3012" w:rsidTr="00B64942">
        <w:trPr>
          <w:trHeight w:val="57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keepNext/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keepNext/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t xml:space="preserve">Наименование товара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keepNext/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keepNext/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t>Количество</w:t>
            </w:r>
          </w:p>
        </w:tc>
      </w:tr>
      <w:tr w:rsidR="00B64942" w:rsidRPr="00BE3012" w:rsidTr="00B64942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ind w:left="66"/>
              <w:rPr>
                <w:sz w:val="24"/>
                <w:szCs w:val="24"/>
                <w:lang w:val="en-US"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t>Коммутатор</w:t>
            </w:r>
            <w:r w:rsidRPr="00BE3012">
              <w:rPr>
                <w:sz w:val="22"/>
                <w:szCs w:val="22"/>
                <w:lang w:val="en-US" w:eastAsia="en-US"/>
              </w:rPr>
              <w:t xml:space="preserve"> Extreme Summit X460-G2-48p-10GE4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E3012">
              <w:rPr>
                <w:sz w:val="22"/>
                <w:szCs w:val="22"/>
                <w:lang w:eastAsia="en-US"/>
              </w:rPr>
              <w:t>шт</w:t>
            </w:r>
            <w:proofErr w:type="spellEnd"/>
            <w:r w:rsidRPr="00BE3012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keepNext/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BE3012">
              <w:rPr>
                <w:sz w:val="22"/>
                <w:szCs w:val="22"/>
                <w:lang w:val="en-US" w:eastAsia="en-US"/>
              </w:rPr>
              <w:t>5</w:t>
            </w:r>
          </w:p>
        </w:tc>
      </w:tr>
    </w:tbl>
    <w:p w:rsidR="00B64942" w:rsidRDefault="00B64942" w:rsidP="00B64942">
      <w:pPr>
        <w:suppressAutoHyphens w:val="0"/>
        <w:spacing w:after="200" w:line="276" w:lineRule="auto"/>
        <w:ind w:firstLine="1843"/>
        <w:rPr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B64942" w:rsidRPr="00BE3012" w:rsidRDefault="00B64942" w:rsidP="00B64942">
      <w:pPr>
        <w:suppressAutoHyphens w:val="0"/>
        <w:spacing w:after="200" w:line="276" w:lineRule="auto"/>
        <w:ind w:firstLine="1843"/>
        <w:rPr>
          <w:b/>
          <w:sz w:val="28"/>
          <w:szCs w:val="28"/>
          <w:u w:val="single"/>
          <w:lang w:eastAsia="ru-RU"/>
        </w:rPr>
      </w:pPr>
      <w:r w:rsidRPr="00444943">
        <w:rPr>
          <w:b/>
          <w:sz w:val="28"/>
          <w:szCs w:val="28"/>
          <w:u w:val="single"/>
          <w:lang w:eastAsia="ru-RU"/>
        </w:rPr>
        <w:t xml:space="preserve">Технические характеристики коммутатора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04"/>
        <w:gridCol w:w="2252"/>
      </w:tblGrid>
      <w:tr w:rsidR="00B64942" w:rsidRPr="00BE3012" w:rsidTr="000366A7">
        <w:trPr>
          <w:trHeight w:val="628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Поставщик должен предоставить письмо от производителя, подтверждающее легальность ввоза не территорию Российской Федерации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9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Все поставляемое оборудование должно быть обеспечено официальной гарантией производителя на территории Российской Федерации сроком не менее одного года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405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иметь порты 10/100/1000BaseT </w:t>
            </w:r>
            <w:r w:rsidRPr="00BE3012">
              <w:rPr>
                <w:sz w:val="22"/>
                <w:szCs w:val="22"/>
                <w:lang w:eastAsia="en-US"/>
              </w:rPr>
              <w:t xml:space="preserve">с поддержкой </w:t>
            </w:r>
            <w:proofErr w:type="spellStart"/>
            <w:r w:rsidRPr="00BE3012">
              <w:rPr>
                <w:sz w:val="22"/>
                <w:szCs w:val="22"/>
                <w:lang w:eastAsia="en-US"/>
              </w:rPr>
              <w:t>PoE-plus</w:t>
            </w:r>
            <w:proofErr w:type="spellEnd"/>
            <w:r w:rsidRPr="00BE3012">
              <w:rPr>
                <w:sz w:val="22"/>
                <w:szCs w:val="22"/>
                <w:lang w:eastAsia="en-US"/>
              </w:rPr>
              <w:t xml:space="preserve"> </w:t>
            </w:r>
            <w:r w:rsidRPr="00BE3012">
              <w:rPr>
                <w:sz w:val="22"/>
                <w:szCs w:val="22"/>
                <w:lang w:val="en-US" w:eastAsia="en-US"/>
              </w:rPr>
              <w:t>IEEE</w:t>
            </w:r>
            <w:r w:rsidRPr="00BE3012">
              <w:rPr>
                <w:sz w:val="22"/>
                <w:szCs w:val="22"/>
                <w:lang w:eastAsia="en-US"/>
              </w:rPr>
              <w:t xml:space="preserve"> 802.3at</w:t>
            </w:r>
            <w:r w:rsidRPr="00BE3012">
              <w:rPr>
                <w:color w:val="000000"/>
                <w:sz w:val="22"/>
                <w:szCs w:val="22"/>
                <w:lang w:eastAsia="en-US"/>
              </w:rPr>
              <w:t>, не менее: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48</w:t>
            </w:r>
          </w:p>
        </w:tc>
      </w:tr>
      <w:tr w:rsidR="00B64942" w:rsidRPr="00BE3012" w:rsidTr="000366A7">
        <w:trPr>
          <w:trHeight w:val="425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иметь порты для установки SFP модулей не менее: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B64942" w:rsidRPr="00BE3012" w:rsidTr="000366A7">
        <w:trPr>
          <w:trHeight w:val="559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иметь возможность установки следующего количества портов 10Gbit: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иметь выделенный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out-of-band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10/100/1000BaseT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Ethernet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порт для управления.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иметь возможность установки следующего количества портов 40Gbit: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иметь возможность установки двух, резервирующих друг друга блоков питания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84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работать с использованием модульной операционной системы с возможностью перезапуска отдельного процесса без полной перезагрузки коммутатора.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9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Для обеспечения совместимости между сетевыми протоколами, на коммутаторах должна быть установлена единая версия операционной системы.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923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быть предназначен для монтажа в 19-ти дюймовый коммуникационный шкаф. В состав поставки должен входить крепежный комплект для установки в коммуникационный шкаф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3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Вес коммутатора не должен превышать: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val="en-US" w:eastAsia="en-US"/>
              </w:rPr>
              <w:t>6,9</w:t>
            </w: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кг </w:t>
            </w:r>
          </w:p>
        </w:tc>
      </w:tr>
      <w:tr w:rsidR="00B64942" w:rsidRPr="00BE3012" w:rsidTr="000366A7">
        <w:trPr>
          <w:trHeight w:val="3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Габариты коммутаторов не должны превышать следующих значений: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 4,4х44,1х</w:t>
            </w:r>
            <w:r w:rsidRPr="00BE3012">
              <w:rPr>
                <w:color w:val="000000"/>
                <w:sz w:val="22"/>
                <w:szCs w:val="22"/>
                <w:lang w:val="en-US" w:eastAsia="en-US"/>
              </w:rPr>
              <w:t>48,8</w:t>
            </w: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см</w:t>
            </w:r>
          </w:p>
        </w:tc>
      </w:tr>
      <w:tr w:rsidR="00B64942" w:rsidRPr="00BE3012" w:rsidTr="000366A7">
        <w:trPr>
          <w:trHeight w:val="3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BE3012"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Производительность устройства</w:t>
            </w:r>
          </w:p>
        </w:tc>
        <w:tc>
          <w:tcPr>
            <w:tcW w:w="1077" w:type="pct"/>
            <w:shd w:val="clear" w:color="auto" w:fill="D9D9D9"/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64942" w:rsidRPr="00BE3012" w:rsidTr="000366A7">
        <w:trPr>
          <w:trHeight w:val="339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Общая производительность коммутатора должна быть не менее: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336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Gbps</w:t>
            </w:r>
            <w:proofErr w:type="spellEnd"/>
          </w:p>
        </w:tc>
      </w:tr>
      <w:tr w:rsidR="00B64942" w:rsidRPr="00BE3012" w:rsidTr="000366A7">
        <w:trPr>
          <w:trHeight w:val="571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иметь неблокируемую архитектуру, то есть все порты коммутатора должны работать одновременно на заявленной скорости.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Максимальное количество хранимых MAC адресов в таблице коммутации коммутатора должно быть не меньше: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98000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Таблица маршрутизации коммутатора должна хранить следующее количество IPv4 маршрутов: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12000</w:t>
            </w:r>
          </w:p>
        </w:tc>
      </w:tr>
      <w:tr w:rsidR="00B64942" w:rsidRPr="00BE3012" w:rsidTr="000366A7">
        <w:trPr>
          <w:trHeight w:val="327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поддерживать количество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Multicast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групп, не менее: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1096</w:t>
            </w:r>
          </w:p>
        </w:tc>
      </w:tr>
      <w:tr w:rsidR="00B64942" w:rsidRPr="00BE3012" w:rsidTr="000366A7">
        <w:trPr>
          <w:trHeight w:val="3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proofErr w:type="spellStart"/>
            <w:r w:rsidRPr="00BE3012"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Стекирование</w:t>
            </w:r>
            <w:proofErr w:type="spellEnd"/>
            <w:r w:rsidRPr="00BE3012"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устройств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64942" w:rsidRPr="00BE3012" w:rsidTr="000366A7">
        <w:trPr>
          <w:trHeight w:val="1500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lastRenderedPageBreak/>
              <w:t xml:space="preserve">Коммутатор должен иметь возможность объединения в стек с другими </w:t>
            </w:r>
            <w:proofErr w:type="spellStart"/>
            <w:r w:rsidRPr="00BE3012">
              <w:rPr>
                <w:sz w:val="22"/>
                <w:szCs w:val="22"/>
                <w:lang w:eastAsia="en-US"/>
              </w:rPr>
              <w:t>стекируемыми</w:t>
            </w:r>
            <w:proofErr w:type="spellEnd"/>
            <w:r w:rsidRPr="00BE3012">
              <w:rPr>
                <w:sz w:val="22"/>
                <w:szCs w:val="22"/>
                <w:lang w:eastAsia="en-US"/>
              </w:rPr>
              <w:t xml:space="preserve"> коммутаторами того же производителя на скоростях работы не менее 40 Гбит/c используя интерфейсы 10 </w:t>
            </w:r>
            <w:proofErr w:type="spellStart"/>
            <w:r w:rsidRPr="00BE3012">
              <w:rPr>
                <w:sz w:val="22"/>
                <w:szCs w:val="22"/>
                <w:lang w:eastAsia="en-US"/>
              </w:rPr>
              <w:t>GigabitEthernet</w:t>
            </w:r>
            <w:proofErr w:type="spellEnd"/>
            <w:r w:rsidRPr="00BE3012">
              <w:rPr>
                <w:sz w:val="22"/>
                <w:szCs w:val="22"/>
                <w:lang w:eastAsia="en-US"/>
              </w:rPr>
              <w:t xml:space="preserve"> на расстояния до 40 км.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1500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иметь возможность объединения в стековую конфигурацию не менее 8 единиц либо иметь модульную конструкцию с возможностью установки не менее 8 карт расширения портовой плотности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675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Выход из строя любого коммутатора в стеке не должен вызывать простой более, чем 50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мс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21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поддерживать объединение в отказоустойчивую конфигурацию с другим идентичным коммутатором для того, чтобы подключаемые устройства могли использовать механизм объединения нескольких физических каналов (LAG) сразу к двум коммутаторам </w:t>
            </w:r>
            <w:proofErr w:type="gramStart"/>
            <w:r w:rsidRPr="00BE3012">
              <w:rPr>
                <w:color w:val="000000"/>
                <w:sz w:val="22"/>
                <w:szCs w:val="22"/>
                <w:lang w:eastAsia="en-US"/>
              </w:rPr>
              <w:t>с активным одновременных использованием</w:t>
            </w:r>
            <w:proofErr w:type="gram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всех каналов; Время восстановления при аварии любого из каналов связи между коммутаторами не должно превышать 50мс.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9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Функциональность объединения в отказоустойчивую конфигурацию должна поддерживаться как для двух отдельных коммутаторов, так и для двух независимых стеков коммутаторов.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3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proofErr w:type="spellStart"/>
            <w:r w:rsidRPr="00BE3012"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Ethernet</w:t>
            </w:r>
            <w:proofErr w:type="spellEnd"/>
            <w:r w:rsidRPr="00BE3012"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коммутация и L2 технологии</w:t>
            </w:r>
          </w:p>
        </w:tc>
        <w:tc>
          <w:tcPr>
            <w:tcW w:w="1077" w:type="pct"/>
            <w:shd w:val="clear" w:color="auto" w:fill="D9D9D9"/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поддерживать протоколы IEEE семейства 802.3: 802.3, 802.3ae, 802.3ab, 802.3z.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поддерживать протоколы 802.1ad (Q-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in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-Q) и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Selective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Q-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in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>-Q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9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обеспечивать сходимость сети в кольцевой топологии не более, чем за 50ms с использованием протокола RFC 3619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Ethernet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Automatic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Protection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Switching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поддерживать протокол защиты от петель в кольцевых топологиях ITU-T G.8032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Ethernet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Ring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Protocol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Switching</w:t>
            </w:r>
            <w:proofErr w:type="spellEnd"/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поддерживать протоколы защиты от петель 802.1w, 802.1s, PVST+.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84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поддерживать объединение портов в отказоустойчивую группу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Aggregation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Group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(LAG). Количество портов, объединяемых в LAG должно быть не менее: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B64942" w:rsidRPr="00BE3012" w:rsidTr="000366A7">
        <w:trPr>
          <w:trHeight w:val="4399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lastRenderedPageBreak/>
              <w:t>Коммутатор должен поддерживать следующие механизмы балансировки трафика в LAG: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Комбинация MAC адресов источника и </w:t>
            </w:r>
            <w:proofErr w:type="gramStart"/>
            <w:r w:rsidRPr="00BE3012">
              <w:rPr>
                <w:color w:val="000000"/>
                <w:sz w:val="22"/>
                <w:szCs w:val="22"/>
                <w:lang w:eastAsia="en-US"/>
              </w:rPr>
              <w:t>назначения;</w:t>
            </w:r>
            <w:r w:rsidRPr="00BE3012">
              <w:rPr>
                <w:color w:val="000000"/>
                <w:sz w:val="22"/>
                <w:szCs w:val="22"/>
                <w:lang w:eastAsia="en-US"/>
              </w:rPr>
              <w:br/>
              <w:t>Комбинация</w:t>
            </w:r>
            <w:proofErr w:type="gram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IP адресов источника и назначения;</w:t>
            </w:r>
            <w:r w:rsidRPr="00BE3012">
              <w:rPr>
                <w:color w:val="000000"/>
                <w:sz w:val="22"/>
                <w:szCs w:val="22"/>
                <w:lang w:eastAsia="en-US"/>
              </w:rPr>
              <w:br/>
              <w:t>Комбинация IP адресов источника и назначения и номеров TCP и UDP портов;</w:t>
            </w:r>
            <w:r w:rsidRPr="00BE3012">
              <w:rPr>
                <w:color w:val="000000"/>
                <w:sz w:val="22"/>
                <w:szCs w:val="22"/>
                <w:lang w:eastAsia="en-US"/>
              </w:rPr>
              <w:br/>
              <w:t>Комбинация IPv6 адресов источника и назначения, а также номеров протоколов 4-го уровня модели OSI.</w:t>
            </w:r>
          </w:p>
        </w:tc>
      </w:tr>
      <w:tr w:rsidR="00B64942" w:rsidRPr="00BE3012" w:rsidTr="000366A7">
        <w:trPr>
          <w:trHeight w:val="9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поддерживать протокол CDPv2 для автоматического обнаружения соседних устройств и динамического назначения номера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Voice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>-VLAN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3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BE3012"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Маршрутизация IPv4/IPv6</w:t>
            </w:r>
          </w:p>
        </w:tc>
        <w:tc>
          <w:tcPr>
            <w:tcW w:w="1077" w:type="pct"/>
            <w:shd w:val="clear" w:color="auto" w:fill="D9D9D9"/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64942" w:rsidRPr="00A86415" w:rsidTr="000366A7">
        <w:trPr>
          <w:trHeight w:val="12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иметь возможность поддержки следующих протоколов маршрутизации IPv4: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E3012">
              <w:rPr>
                <w:color w:val="000000"/>
                <w:sz w:val="22"/>
                <w:szCs w:val="22"/>
                <w:lang w:val="en-US" w:eastAsia="en-US"/>
              </w:rPr>
              <w:t>BGP4, IS-IS, OSPF,</w:t>
            </w:r>
          </w:p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E3012">
              <w:rPr>
                <w:color w:val="000000"/>
                <w:sz w:val="22"/>
                <w:szCs w:val="22"/>
                <w:lang w:val="en-US" w:eastAsia="en-US"/>
              </w:rPr>
              <w:t>RIP v1/v2, PIM, MSDP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поддерживать управление маршрутизацией при помощи политик (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Policy-based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Routing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). 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A86415" w:rsidTr="000366A7">
        <w:trPr>
          <w:trHeight w:val="15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поддерживать технологию BFD для статических маршрутов и динамических протоколов маршрутизации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  <w:r w:rsidRPr="00BE3012">
              <w:rPr>
                <w:color w:val="000000"/>
                <w:sz w:val="22"/>
                <w:szCs w:val="22"/>
                <w:lang w:val="en-US" w:eastAsia="en-US"/>
              </w:rPr>
              <w:br/>
              <w:t xml:space="preserve">Static, </w:t>
            </w:r>
            <w:proofErr w:type="gramStart"/>
            <w:r w:rsidRPr="00BE3012">
              <w:rPr>
                <w:color w:val="000000"/>
                <w:sz w:val="22"/>
                <w:szCs w:val="22"/>
                <w:lang w:val="en-US" w:eastAsia="en-US"/>
              </w:rPr>
              <w:t>BGP,</w:t>
            </w:r>
            <w:r w:rsidRPr="00BE3012">
              <w:rPr>
                <w:color w:val="000000"/>
                <w:sz w:val="22"/>
                <w:szCs w:val="22"/>
                <w:lang w:val="en-US" w:eastAsia="en-US"/>
              </w:rPr>
              <w:br/>
              <w:t>OSPFv</w:t>
            </w:r>
            <w:proofErr w:type="gramEnd"/>
            <w:r w:rsidRPr="00BE3012">
              <w:rPr>
                <w:color w:val="000000"/>
                <w:sz w:val="22"/>
                <w:szCs w:val="22"/>
                <w:lang w:val="en-US" w:eastAsia="en-US"/>
              </w:rPr>
              <w:t>2/OSPFv3</w:t>
            </w:r>
          </w:p>
        </w:tc>
      </w:tr>
      <w:tr w:rsidR="00B64942" w:rsidRPr="00BE3012" w:rsidTr="000366A7">
        <w:trPr>
          <w:trHeight w:val="3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BE3012"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L2/L3 </w:t>
            </w:r>
            <w:proofErr w:type="spellStart"/>
            <w:r w:rsidRPr="00BE3012"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Multicast</w:t>
            </w:r>
            <w:proofErr w:type="spellEnd"/>
            <w:r w:rsidRPr="00BE3012"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сервисы</w:t>
            </w:r>
          </w:p>
        </w:tc>
        <w:tc>
          <w:tcPr>
            <w:tcW w:w="1077" w:type="pct"/>
            <w:shd w:val="clear" w:color="auto" w:fill="D9D9D9"/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поддерживать протокол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Multicast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VLAN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registration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(MVR);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3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поддерживать протоколы IGMPv1/v2/v3;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поддерживать протоколы IGMPv1/v2/v3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снупинга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(IGMPv1/v2/v3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snooping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>);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3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поддерживать протокол PIM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Snooping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3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BE3012"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Авторизация пользователей и механизмы </w:t>
            </w:r>
            <w:proofErr w:type="spellStart"/>
            <w:r w:rsidRPr="00BE3012"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QoS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Каждый интерфейс для подключения абонентских устройств должен поддерживать не менее 8-х аппаратных очередей.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Списки контроля доступа, устанавливаемые на порту коммутатора, должны работать на скорости этого порта (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line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rate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3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поддерживать протокол </w:t>
            </w:r>
            <w:proofErr w:type="gramStart"/>
            <w:r w:rsidRPr="00BE3012">
              <w:rPr>
                <w:color w:val="000000"/>
                <w:sz w:val="22"/>
                <w:szCs w:val="22"/>
                <w:lang w:eastAsia="en-US"/>
              </w:rPr>
              <w:t>IEEE  802.1x.</w:t>
            </w:r>
            <w:proofErr w:type="gramEnd"/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t>Коммутаторы должны поддерживать возможность по созданию не менее N политик (правил), используемых для разграничения прав доступа пользователей к сетевым ресурсам и реализации корпоративной политики по обеспечению качества услуг при передаче данных в корпоративной сети.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t>Не менее 63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lastRenderedPageBreak/>
              <w:t>Политики (правила) по обработке входящих пакетов данных должны назначаться на интерфейс статически или динамически как результат авторизации пользователя на порту устройства с использованием технологии 802.1X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t>При использовании дополнительного программного обеспечения для создания политик, это программное обеспечение должно обеспечивать автоматическое распределение созданных политик по коммутаторам, осуществляющим разграничение прав доступа пользователей к сетевым ресурсам.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9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поддерживать механизм обнаружения вторжений, предотвращения распространения сетевых червей и вирусов, подавления атак типа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DoS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15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Коммутатор должен иметь возможность отслеживания авторизации пользователей в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Microsoft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Active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Directory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и автоматически управлять доступом к ресурсам сети без использования сертификатов на подключаемых устройствах либо дополнительного программного обеспечения.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18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поддерживать механизм автоматического изменения конфигурации (наложение списков контроля доступа, правил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QoS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>) при перемещении виртуальных машин между портами коммутатора или между коммутаторами. Для функционирования данного решения не должна требоваться внешняя система управления или мониторинга.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12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обеспечивать возможность ограничения полосы пропускания на интерфейсах для входящего и исходящего трафика.  Ограничение полосы пропускания должно осуществляться с шагом не более 64 Кб/с для портов 1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GigabitEthernet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12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обеспечивать возможность ограничения полосы пропускания на интерфейсах для входящего и исходящего трафика.  Ограничение полосы пропускания должно осуществляться с шагом не более 1 Мб/с для портов 10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GigabitEthernet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3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BE3012"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Технологии для построения </w:t>
            </w:r>
            <w:proofErr w:type="spellStart"/>
            <w:r w:rsidRPr="00BE3012"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ЦоД</w:t>
            </w:r>
            <w:proofErr w:type="spellEnd"/>
          </w:p>
        </w:tc>
        <w:tc>
          <w:tcPr>
            <w:tcW w:w="1077" w:type="pct"/>
            <w:shd w:val="clear" w:color="auto" w:fill="D9D9D9"/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поддерживать технологию VXLAN (RFC7348)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</w:tr>
      <w:tr w:rsidR="00B64942" w:rsidRPr="00BE3012" w:rsidTr="000366A7">
        <w:trPr>
          <w:trHeight w:val="374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BE3012"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MPLS и сервисы на его основе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t>Коммутатор должен поддерживать технологию MPLS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t>Коммутатор должен поддерживать технологию BFD для технологий MPLS/LDP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t xml:space="preserve"> Коммутатор должен иметь возможность поддержки технологии виртуальных частных локальных сетей VPLS/H-VPLS.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3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BE3012">
              <w:rPr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Контроль и управление</w:t>
            </w:r>
          </w:p>
        </w:tc>
        <w:tc>
          <w:tcPr>
            <w:tcW w:w="1077" w:type="pct"/>
            <w:shd w:val="clear" w:color="auto" w:fill="D9D9D9"/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поддерживать стандарты SNMP версий 2c и 3, </w:t>
            </w:r>
            <w:proofErr w:type="spellStart"/>
            <w:proofErr w:type="gramStart"/>
            <w:r w:rsidRPr="00BE3012">
              <w:rPr>
                <w:color w:val="000000"/>
                <w:sz w:val="22"/>
                <w:szCs w:val="22"/>
                <w:lang w:eastAsia="en-US"/>
              </w:rPr>
              <w:t>Syslog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.  </w:t>
            </w:r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3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Коммутатор должен поддерживать функциональность NTP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Server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и NTP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Client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653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поддерживать протокол ITU-T G.8262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SynchroНетus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Ethernet</w:t>
            </w:r>
            <w:proofErr w:type="spellEnd"/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3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поддерживать технологию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sFlow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версии 5.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6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поддерживать технологию RFC 3917 (IPFIX).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12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Коммутатор должен поддерживать язык написания скриптов (сценариев), которые выполняются непосредственно на коммутаторе. Язык написания скриптов должен поддерживать общепринятые команды языка </w:t>
            </w:r>
            <w:proofErr w:type="spellStart"/>
            <w:r w:rsidRPr="00BE3012">
              <w:rPr>
                <w:color w:val="000000"/>
                <w:sz w:val="22"/>
                <w:szCs w:val="22"/>
                <w:lang w:eastAsia="en-US"/>
              </w:rPr>
              <w:t>Python</w:t>
            </w:r>
            <w:proofErr w:type="spellEnd"/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 или аналога.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12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поддерживать язык написания скриптов (сценариев), которые выполняются непосредственно на коммутаторе. Язык написания скриптов должен поддерживать общепринятые команды $TCL языка.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9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 xml:space="preserve">Коммутатор должен поддерживать язык XML для простого встраивания процедур управления коммутатором во внешние системы. 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21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поддерживать изменение конфигурационных параметров при наступлении таких событий, как аутентификация устройств, аутентификация пользователей, наступление определенного времени, установление и обрыв соединения на порту и всех других событий, которые обнаруживает операционная система коммутатора. Для функционирования данного решения не должна требоваться внешняя система управления или мониторинга.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  <w:tr w:rsidR="00B64942" w:rsidRPr="00BE3012" w:rsidTr="000366A7">
        <w:trPr>
          <w:trHeight w:val="300"/>
        </w:trPr>
        <w:tc>
          <w:tcPr>
            <w:tcW w:w="3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Коммутатор должен поддерживать протокол ITU-T Y.1731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942" w:rsidRPr="00BE3012" w:rsidRDefault="00B64942" w:rsidP="000366A7">
            <w:pPr>
              <w:suppressAutoHyphens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E3012">
              <w:rPr>
                <w:color w:val="000000"/>
                <w:sz w:val="22"/>
                <w:szCs w:val="22"/>
                <w:lang w:eastAsia="en-US"/>
              </w:rPr>
              <w:t>Да</w:t>
            </w:r>
          </w:p>
        </w:tc>
      </w:tr>
    </w:tbl>
    <w:p w:rsidR="00B64942" w:rsidRPr="00BE3012" w:rsidRDefault="00B64942" w:rsidP="00B64942">
      <w:pPr>
        <w:suppressAutoHyphens w:val="0"/>
        <w:spacing w:after="200" w:line="276" w:lineRule="auto"/>
        <w:rPr>
          <w:color w:val="000000"/>
          <w:sz w:val="22"/>
          <w:szCs w:val="22"/>
          <w:lang w:eastAsia="ru-RU"/>
        </w:rPr>
      </w:pPr>
    </w:p>
    <w:p w:rsidR="00B64942" w:rsidRPr="00BE3012" w:rsidRDefault="00B64942" w:rsidP="00B64942">
      <w:pPr>
        <w:suppressAutoHyphens w:val="0"/>
        <w:spacing w:line="276" w:lineRule="auto"/>
        <w:ind w:right="-365"/>
        <w:rPr>
          <w:color w:val="000000"/>
          <w:sz w:val="22"/>
          <w:szCs w:val="22"/>
          <w:lang w:eastAsia="ru-RU"/>
        </w:rPr>
      </w:pPr>
      <w:r w:rsidRPr="00BE3012">
        <w:rPr>
          <w:color w:val="000000"/>
          <w:sz w:val="22"/>
          <w:szCs w:val="22"/>
          <w:lang w:eastAsia="ru-RU"/>
        </w:rPr>
        <w:t>Программное обеспечение коммутаторов должно поддерживать следующие функции, протоколы и технологии:</w:t>
      </w:r>
    </w:p>
    <w:p w:rsidR="00B64942" w:rsidRPr="00BE3012" w:rsidRDefault="00B64942" w:rsidP="00B64942">
      <w:pPr>
        <w:suppressAutoHyphens w:val="0"/>
        <w:spacing w:line="276" w:lineRule="auto"/>
        <w:ind w:left="846" w:right="-365"/>
        <w:contextualSpacing/>
        <w:rPr>
          <w:rFonts w:eastAsia="Calibri"/>
          <w:color w:val="000000"/>
          <w:spacing w:val="-1"/>
          <w:sz w:val="22"/>
          <w:szCs w:val="22"/>
          <w:lang w:eastAsia="en-US"/>
        </w:rPr>
      </w:pPr>
    </w:p>
    <w:p w:rsidR="00B64942" w:rsidRPr="00BE3012" w:rsidRDefault="00B64942" w:rsidP="00B64942">
      <w:pPr>
        <w:suppressAutoHyphens w:val="0"/>
        <w:spacing w:line="276" w:lineRule="auto"/>
        <w:ind w:left="426" w:right="-365"/>
        <w:rPr>
          <w:color w:val="000000"/>
          <w:sz w:val="22"/>
          <w:szCs w:val="22"/>
          <w:lang w:eastAsia="ru-RU"/>
        </w:rPr>
      </w:pPr>
      <w:r w:rsidRPr="00BE3012">
        <w:rPr>
          <w:color w:val="000000"/>
          <w:sz w:val="22"/>
          <w:szCs w:val="22"/>
          <w:lang w:eastAsia="ru-RU"/>
        </w:rPr>
        <w:t xml:space="preserve">1. Совместимость с имеющимся оборудованием </w:t>
      </w:r>
      <w:r w:rsidRPr="00BE3012">
        <w:rPr>
          <w:color w:val="000000"/>
          <w:sz w:val="22"/>
          <w:szCs w:val="22"/>
          <w:lang w:val="en-US" w:eastAsia="ru-RU"/>
        </w:rPr>
        <w:t>Extreme</w:t>
      </w:r>
      <w:r w:rsidRPr="00BE3012">
        <w:rPr>
          <w:color w:val="000000"/>
          <w:sz w:val="22"/>
          <w:szCs w:val="22"/>
          <w:lang w:eastAsia="ru-RU"/>
        </w:rPr>
        <w:t xml:space="preserve"> </w:t>
      </w:r>
      <w:r w:rsidRPr="00BE3012">
        <w:rPr>
          <w:color w:val="000000"/>
          <w:sz w:val="22"/>
          <w:szCs w:val="22"/>
          <w:lang w:val="en-US" w:eastAsia="ru-RU"/>
        </w:rPr>
        <w:t>Networks</w:t>
      </w:r>
      <w:r w:rsidRPr="00BE3012">
        <w:rPr>
          <w:color w:val="000000"/>
          <w:sz w:val="22"/>
          <w:szCs w:val="22"/>
          <w:lang w:eastAsia="ru-RU"/>
        </w:rPr>
        <w:t xml:space="preserve"> у Заказчика.</w:t>
      </w:r>
    </w:p>
    <w:p w:rsidR="00B64942" w:rsidRPr="00BE3012" w:rsidRDefault="00B64942" w:rsidP="00B64942">
      <w:pPr>
        <w:suppressAutoHyphens w:val="0"/>
        <w:spacing w:line="276" w:lineRule="auto"/>
        <w:ind w:left="426" w:right="-365"/>
        <w:rPr>
          <w:color w:val="000000"/>
          <w:sz w:val="22"/>
          <w:szCs w:val="22"/>
          <w:lang w:eastAsia="ru-RU"/>
        </w:rPr>
      </w:pPr>
      <w:r w:rsidRPr="00BE3012">
        <w:rPr>
          <w:color w:val="000000"/>
          <w:sz w:val="22"/>
          <w:szCs w:val="22"/>
          <w:lang w:eastAsia="ru-RU"/>
        </w:rPr>
        <w:t>2. Маршрутизация.</w:t>
      </w:r>
    </w:p>
    <w:p w:rsidR="00B64942" w:rsidRPr="00BE3012" w:rsidRDefault="00B64942" w:rsidP="00B64942">
      <w:pPr>
        <w:suppressAutoHyphens w:val="0"/>
        <w:spacing w:after="200" w:line="276" w:lineRule="auto"/>
        <w:ind w:left="426"/>
        <w:rPr>
          <w:color w:val="000000"/>
          <w:sz w:val="22"/>
          <w:szCs w:val="22"/>
          <w:lang w:eastAsia="ru-RU"/>
        </w:rPr>
      </w:pPr>
      <w:r w:rsidRPr="00BE3012">
        <w:rPr>
          <w:color w:val="000000"/>
          <w:sz w:val="22"/>
          <w:szCs w:val="22"/>
          <w:lang w:eastAsia="ru-RU"/>
        </w:rPr>
        <w:t>3. Регулирование доступа на основе политик.</w:t>
      </w:r>
    </w:p>
    <w:p w:rsidR="00B64942" w:rsidRPr="00BE3012" w:rsidRDefault="00B64942" w:rsidP="00B64942">
      <w:pPr>
        <w:suppressAutoHyphens w:val="0"/>
        <w:spacing w:after="200" w:line="276" w:lineRule="auto"/>
        <w:ind w:left="426"/>
        <w:rPr>
          <w:color w:val="000000"/>
          <w:sz w:val="22"/>
          <w:szCs w:val="22"/>
          <w:lang w:eastAsia="ru-RU"/>
        </w:rPr>
      </w:pPr>
      <w:r w:rsidRPr="00BE3012">
        <w:rPr>
          <w:color w:val="000000"/>
          <w:sz w:val="22"/>
          <w:szCs w:val="22"/>
          <w:lang w:eastAsia="ru-RU"/>
        </w:rPr>
        <w:t xml:space="preserve">4. Возможность авторизации в </w:t>
      </w:r>
      <w:r w:rsidRPr="00BE3012">
        <w:rPr>
          <w:color w:val="000000"/>
          <w:sz w:val="22"/>
          <w:szCs w:val="22"/>
          <w:lang w:val="en-US" w:eastAsia="ru-RU"/>
        </w:rPr>
        <w:t>Microsoft</w:t>
      </w:r>
      <w:r w:rsidRPr="00BE3012">
        <w:rPr>
          <w:color w:val="000000"/>
          <w:sz w:val="22"/>
          <w:szCs w:val="22"/>
          <w:lang w:eastAsia="ru-RU"/>
        </w:rPr>
        <w:t xml:space="preserve"> A</w:t>
      </w:r>
      <w:proofErr w:type="spellStart"/>
      <w:r w:rsidRPr="00BE3012">
        <w:rPr>
          <w:color w:val="000000"/>
          <w:sz w:val="22"/>
          <w:szCs w:val="22"/>
          <w:lang w:val="en-US" w:eastAsia="ru-RU"/>
        </w:rPr>
        <w:t>ctive</w:t>
      </w:r>
      <w:proofErr w:type="spellEnd"/>
      <w:r w:rsidRPr="00BE3012">
        <w:rPr>
          <w:color w:val="000000"/>
          <w:sz w:val="22"/>
          <w:szCs w:val="22"/>
          <w:lang w:eastAsia="ru-RU"/>
        </w:rPr>
        <w:t xml:space="preserve"> D</w:t>
      </w:r>
      <w:proofErr w:type="spellStart"/>
      <w:r w:rsidRPr="00BE3012">
        <w:rPr>
          <w:color w:val="000000"/>
          <w:sz w:val="22"/>
          <w:szCs w:val="22"/>
          <w:lang w:val="en-US" w:eastAsia="ru-RU"/>
        </w:rPr>
        <w:t>irectory</w:t>
      </w:r>
      <w:proofErr w:type="spellEnd"/>
      <w:r w:rsidRPr="00BE3012">
        <w:rPr>
          <w:color w:val="000000"/>
          <w:sz w:val="22"/>
          <w:szCs w:val="22"/>
          <w:lang w:eastAsia="ru-RU"/>
        </w:rPr>
        <w:t>.</w:t>
      </w:r>
    </w:p>
    <w:p w:rsidR="00B64942" w:rsidRPr="00BE3012" w:rsidRDefault="00B64942" w:rsidP="00B64942">
      <w:pPr>
        <w:suppressAutoHyphens w:val="0"/>
        <w:spacing w:after="200" w:line="276" w:lineRule="auto"/>
        <w:ind w:left="426"/>
        <w:rPr>
          <w:color w:val="000000"/>
          <w:sz w:val="22"/>
          <w:szCs w:val="22"/>
          <w:lang w:eastAsia="ru-RU"/>
        </w:rPr>
      </w:pPr>
      <w:r w:rsidRPr="00BE3012">
        <w:rPr>
          <w:color w:val="000000"/>
          <w:sz w:val="22"/>
          <w:szCs w:val="22"/>
          <w:lang w:eastAsia="ru-RU"/>
        </w:rPr>
        <w:t xml:space="preserve">5. Возможность получения статистики по трафику, приложениям, серверам назначения. </w:t>
      </w:r>
    </w:p>
    <w:p w:rsidR="00B64942" w:rsidRPr="00BE3012" w:rsidRDefault="00B64942" w:rsidP="00B64942">
      <w:pPr>
        <w:suppressAutoHyphens w:val="0"/>
        <w:spacing w:after="200" w:line="276" w:lineRule="auto"/>
        <w:ind w:left="426"/>
        <w:rPr>
          <w:color w:val="000000"/>
          <w:sz w:val="22"/>
          <w:szCs w:val="22"/>
          <w:lang w:eastAsia="ru-RU"/>
        </w:rPr>
      </w:pPr>
      <w:r w:rsidRPr="00BE3012">
        <w:rPr>
          <w:color w:val="000000"/>
          <w:sz w:val="22"/>
          <w:szCs w:val="22"/>
          <w:lang w:eastAsia="ru-RU"/>
        </w:rPr>
        <w:t xml:space="preserve">6. Поддержка </w:t>
      </w:r>
      <w:proofErr w:type="spellStart"/>
      <w:r w:rsidRPr="00BE3012">
        <w:rPr>
          <w:color w:val="000000"/>
          <w:sz w:val="22"/>
          <w:szCs w:val="22"/>
          <w:lang w:eastAsia="ru-RU"/>
        </w:rPr>
        <w:t>QoS</w:t>
      </w:r>
      <w:proofErr w:type="spellEnd"/>
      <w:r w:rsidRPr="00BE3012">
        <w:rPr>
          <w:color w:val="000000"/>
          <w:sz w:val="22"/>
          <w:szCs w:val="22"/>
          <w:lang w:eastAsia="ru-RU"/>
        </w:rPr>
        <w:t>.</w:t>
      </w:r>
    </w:p>
    <w:p w:rsidR="00E66978" w:rsidRDefault="00E66978"/>
    <w:sectPr w:rsidR="00E66978" w:rsidSect="00B64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42"/>
    <w:rsid w:val="00B64942"/>
    <w:rsid w:val="00E6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B0D12-7D3A-4AB1-AF81-F4A33F76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2020-12-07T13:17:00Z</dcterms:created>
  <dcterms:modified xsi:type="dcterms:W3CDTF">2020-12-07T13:18:00Z</dcterms:modified>
</cp:coreProperties>
</file>