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1" w:type="dxa"/>
        <w:jc w:val="left"/>
        <w:tblInd w:w="0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571"/>
      </w:tblGrid>
      <w:tr>
        <w:trPr>
          <w:cantSplit w:val="true"/>
        </w:trPr>
        <w:tc>
          <w:tcPr>
            <w:tcW w:w="9571" w:type="dxa"/>
            <w:tcBorders/>
            <w:shd w:fill="auto" w:val="clear"/>
          </w:tcPr>
          <w:p>
            <w:pPr>
              <w:pStyle w:val="Style27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aps/>
                <w:szCs w:val="24"/>
              </w:rPr>
              <w:t>Техническое (ГЕОЛОГИЧЕСКОЕ) задание</w:t>
            </w:r>
          </w:p>
        </w:tc>
      </w:tr>
      <w:tr>
        <w:trPr>
          <w:cantSplit w:val="true"/>
        </w:trPr>
        <w:tc>
          <w:tcPr>
            <w:tcW w:w="9571" w:type="dxa"/>
            <w:tcBorders/>
            <w:shd w:fill="auto" w:val="clear"/>
          </w:tcPr>
          <w:p>
            <w:pPr>
              <w:pStyle w:val="Style27"/>
              <w:ind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 выполнение научно-исследовательской работы по теме</w:t>
            </w:r>
          </w:p>
        </w:tc>
      </w:tr>
      <w:tr>
        <w:trPr>
          <w:cantSplit w:val="true"/>
        </w:trPr>
        <w:tc>
          <w:tcPr>
            <w:tcW w:w="9571" w:type="dxa"/>
            <w:tcBorders/>
            <w:shd w:fill="auto" w:val="clear"/>
          </w:tcPr>
          <w:p>
            <w:pPr>
              <w:pStyle w:val="Style27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Cs w:val="24"/>
              </w:rPr>
              <w:t>«Определение фонового состояния окружающей природной среды в пределах Лицензионного участка на Савкинском</w:t>
            </w:r>
            <w:r>
              <w:rPr>
                <w:rStyle w:val="Style17"/>
              </w:rPr>
              <w:t xml:space="preserve"> месторождении брусита»</w:t>
            </w:r>
          </w:p>
        </w:tc>
      </w:tr>
    </w:tbl>
    <w:p>
      <w:pPr>
        <w:pStyle w:val="1"/>
        <w:ind w:firstLine="709"/>
        <w:jc w:val="left"/>
        <w:rPr/>
      </w:pPr>
      <w:r>
        <w:rPr/>
      </w:r>
    </w:p>
    <w:tbl>
      <w:tblPr>
        <w:tblStyle w:val="af"/>
        <w:tblW w:w="10563" w:type="dxa"/>
        <w:jc w:val="left"/>
        <w:tblInd w:w="0" w:type="dxa"/>
        <w:tblCellMar>
          <w:top w:w="0" w:type="dxa"/>
          <w:left w:w="85" w:type="dxa"/>
          <w:bottom w:w="0" w:type="dxa"/>
          <w:right w:w="85" w:type="dxa"/>
        </w:tblCellMar>
        <w:tblLook w:val="04a0" w:noVBand="1" w:noHBand="0" w:lastColumn="0" w:firstColumn="1" w:lastRow="0" w:firstRow="1"/>
      </w:tblPr>
      <w:tblGrid>
        <w:gridCol w:w="534"/>
        <w:gridCol w:w="2103"/>
        <w:gridCol w:w="7926"/>
      </w:tblGrid>
      <w:tr>
        <w:trPr>
          <w:trHeight w:val="962" w:hRule="atLeast"/>
        </w:trPr>
        <w:tc>
          <w:tcPr>
            <w:tcW w:w="534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1.</w:t>
            </w:r>
          </w:p>
        </w:tc>
        <w:tc>
          <w:tcPr>
            <w:tcW w:w="2103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Основание выдачи технического (геологического) задания: </w:t>
            </w:r>
          </w:p>
        </w:tc>
        <w:tc>
          <w:tcPr>
            <w:tcW w:w="7926" w:type="dxa"/>
            <w:tcBorders/>
            <w:shd w:fill="auto" w:val="clear"/>
            <w:tcMar>
              <w:left w:w="85" w:type="dxa"/>
            </w:tcMar>
          </w:tcPr>
          <w:p>
            <w:pPr>
              <w:pStyle w:val="1"/>
              <w:numPr>
                <w:ilvl w:val="0"/>
                <w:numId w:val="0"/>
              </w:numPr>
              <w:spacing w:lineRule="auto" w:line="240" w:before="0" w:after="0"/>
              <w:jc w:val="left"/>
              <w:outlineLvl w:val="0"/>
              <w:rPr>
                <w:b w:val="false"/>
                <w:b w:val="false"/>
              </w:rPr>
            </w:pPr>
            <w:r>
              <w:rPr/>
              <w:t xml:space="preserve">- </w:t>
            </w:r>
            <w:r>
              <w:rPr>
                <w:b w:val="false"/>
              </w:rPr>
              <w:t>лицензия БИР № 00462 ТР от 16.01.2017 г.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/>
              <w:t xml:space="preserve">- </w:t>
            </w:r>
            <w:r>
              <w:rPr>
                <w:bCs/>
              </w:rPr>
              <w:t>утвержденный проект поисково-оценочных работ на Савкинском месторождении брусита в Еврейской автономной области в 2017-2022  г.</w:t>
            </w:r>
            <w:r>
              <w:rPr>
                <w:b/>
                <w:bCs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ind w:firstLine="34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2.</w:t>
            </w:r>
          </w:p>
        </w:tc>
        <w:tc>
          <w:tcPr>
            <w:tcW w:w="2103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Наименование и пространственные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границы объекта:</w:t>
            </w:r>
          </w:p>
        </w:tc>
        <w:tc>
          <w:tcPr>
            <w:tcW w:w="7926" w:type="dxa"/>
            <w:tcBorders/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>
                <w:rStyle w:val="Style17"/>
              </w:rPr>
            </w:pPr>
            <w:r>
              <w:rPr>
                <w:szCs w:val="24"/>
              </w:rPr>
              <w:t>Лицензионный участок на Савкинском</w:t>
            </w:r>
            <w:r>
              <w:rPr>
                <w:rStyle w:val="Style17"/>
              </w:rPr>
              <w:t xml:space="preserve"> месторождении брусита.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Российская Федерация, Еврейская автономная область, Октябрьский район, лист масштаба 1:200 000 М-52-</w:t>
            </w:r>
            <w:r>
              <w:rPr>
                <w:lang w:val="en-US"/>
              </w:rPr>
              <w:t>XXXVI</w:t>
            </w:r>
            <w:r>
              <w:rPr/>
              <w:t>. Географические координаты:</w:t>
            </w:r>
          </w:p>
          <w:tbl>
            <w:tblPr>
              <w:tblW w:w="7457" w:type="dxa"/>
              <w:jc w:val="center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911"/>
              <w:gridCol w:w="1135"/>
              <w:gridCol w:w="1134"/>
              <w:gridCol w:w="1133"/>
              <w:gridCol w:w="1"/>
              <w:gridCol w:w="992"/>
              <w:gridCol w:w="992"/>
              <w:gridCol w:w="1158"/>
            </w:tblGrid>
            <w:tr>
              <w:trPr>
                <w:trHeight w:val="267" w:hRule="atLeast"/>
              </w:trPr>
              <w:tc>
                <w:tcPr>
                  <w:tcW w:w="911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Номер точки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Северная широта</w:t>
                  </w:r>
                </w:p>
              </w:tc>
              <w:tc>
                <w:tcPr>
                  <w:tcW w:w="3143" w:type="dxa"/>
                  <w:gridSpan w:val="4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Восточная долгота</w:t>
                  </w:r>
                </w:p>
              </w:tc>
            </w:tr>
            <w:tr>
              <w:trPr>
                <w:trHeight w:val="153" w:hRule="atLeast"/>
              </w:trPr>
              <w:tc>
                <w:tcPr>
                  <w:tcW w:w="911" w:type="dxa"/>
                  <w:vMerge w:val="continue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11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градусы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минуты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секунды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градусы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минуты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секунды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9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59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9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9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</w:tr>
            <w:tr>
              <w:trPr>
                <w:trHeight w:val="267" w:hRule="atLeast"/>
              </w:trPr>
              <w:tc>
                <w:tcPr>
                  <w:tcW w:w="9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9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1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59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ind w:firstLine="34"/>
              <w:rPr/>
            </w:pPr>
            <w:r>
              <w:rPr/>
              <w:t>Площадь участка 4,03 км</w:t>
            </w:r>
            <w:r>
              <w:rPr>
                <w:vertAlign w:val="superscript"/>
              </w:rPr>
              <w:t>2</w:t>
            </w:r>
            <w:r>
              <w:rPr/>
              <w:t>.Лицензионному участку придан статус горного отвода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Заказчик: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Общество с ограниченной ответственностью «Русское горно-химическое общество» 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>Источник финансирования</w:t>
            </w:r>
            <w:r>
              <w:rPr/>
              <w:t>: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1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/>
            </w:pPr>
            <w:r>
              <w:rPr>
                <w:b w:val="false"/>
              </w:rPr>
              <w:t>собственные средства ООО «РГХО».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Целевое назначение работ: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>
                <w:rStyle w:val="Style17"/>
                <w:sz w:val="22"/>
                <w:szCs w:val="22"/>
              </w:rPr>
            </w:pPr>
            <w:r>
              <w:rPr>
                <w:szCs w:val="22"/>
              </w:rPr>
              <w:t xml:space="preserve">- </w:t>
            </w:r>
            <w:r>
              <w:rPr>
                <w:rStyle w:val="Style17"/>
                <w:sz w:val="22"/>
                <w:szCs w:val="22"/>
              </w:rPr>
              <w:t>проведение экологических наблюдений за исходным состоянием компонентов окружающей природной среды на лицензионном участке до начала поисково-оценочных работ и промышленной добычи или строительства объектов инфраструктуры;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Cs w:val="22"/>
              </w:rPr>
              <w:t xml:space="preserve">- </w:t>
            </w:r>
            <w:r>
              <w:rPr>
                <w:rStyle w:val="Style17"/>
                <w:sz w:val="22"/>
                <w:szCs w:val="22"/>
              </w:rPr>
              <w:t>получение необходимой информации для оценки воздействия промышленного освоения месторождения брусита на лицензионном участке для обеспечения норм рационального и экологически безопасного природопользования.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Основные оценочные параметры: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tLeast" w:line="25" w:before="60" w:after="0"/>
              <w:rPr/>
            </w:pPr>
            <w:r>
              <w:rPr/>
              <w:t>-</w:t>
            </w:r>
            <w:r>
              <w:rPr>
                <w:rStyle w:val="Style17"/>
              </w:rPr>
              <w:t xml:space="preserve"> </w:t>
            </w:r>
            <w:r>
              <w:rPr>
                <w:rStyle w:val="Style17"/>
                <w:sz w:val="22"/>
                <w:szCs w:val="22"/>
              </w:rPr>
              <w:t>Фоновые показатели (фоновые концентрации в поверхностных водах, родниках, почвах и снежном покрове) в природной среде до начала поисково-оценочных работ и промышленного освоения Савкинского месторождения</w:t>
            </w:r>
            <w:r>
              <w:rPr>
                <w:rStyle w:val="Style17"/>
              </w:rPr>
              <w:t>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Style w:val="Style17"/>
                <w:rFonts w:eastAsia="" w:eastAsiaTheme="majorEastAsia"/>
                <w:color w:val="00000A"/>
                <w:sz w:val="22"/>
                <w:szCs w:val="22"/>
              </w:rPr>
            </w:pPr>
            <w:r>
              <w:rPr>
                <w:rStyle w:val="Style17"/>
                <w:rFonts w:eastAsia="" w:eastAsiaTheme="majorEastAsia"/>
                <w:color w:val="00000A"/>
                <w:sz w:val="22"/>
                <w:szCs w:val="22"/>
              </w:rPr>
              <w:t>Перечень нормативных правовых и методических документов, регламентирующих выполнение работ: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Style w:val="Style17"/>
                <w:sz w:val="22"/>
                <w:szCs w:val="22"/>
              </w:rPr>
            </w:pPr>
            <w:r>
              <w:rPr>
                <w:rStyle w:val="Style17"/>
                <w:sz w:val="22"/>
                <w:szCs w:val="22"/>
              </w:rPr>
              <w:t>- Закон РФ от 21.02.1992 г. N 2395-1 «О недрах» (ред. от 26.06.2007 г.);</w:t>
            </w:r>
          </w:p>
          <w:p>
            <w:pPr>
              <w:pStyle w:val="Normal"/>
              <w:tabs>
                <w:tab w:val="left" w:pos="900" w:leader="none"/>
              </w:tabs>
              <w:spacing w:lineRule="auto" w:line="240" w:before="0" w:after="0"/>
              <w:jc w:val="both"/>
              <w:rPr>
                <w:rStyle w:val="Style17"/>
                <w:sz w:val="22"/>
                <w:szCs w:val="22"/>
              </w:rPr>
            </w:pPr>
            <w:r>
              <w:rPr>
                <w:rStyle w:val="Style17"/>
                <w:sz w:val="22"/>
                <w:szCs w:val="22"/>
              </w:rPr>
              <w:t>- Закон РФ от 10.01.2002 г. N 7-ФЗ «Об охране окружающей среды» (ред. от 01.12.2007 г.);</w:t>
            </w:r>
          </w:p>
          <w:p>
            <w:pPr>
              <w:pStyle w:val="Normal"/>
              <w:tabs>
                <w:tab w:val="left" w:pos="900" w:leader="none"/>
              </w:tabs>
              <w:spacing w:lineRule="auto" w:line="240" w:before="0" w:after="0"/>
              <w:jc w:val="both"/>
              <w:rPr>
                <w:rStyle w:val="Style17"/>
                <w:sz w:val="22"/>
                <w:szCs w:val="22"/>
              </w:rPr>
            </w:pPr>
            <w:r>
              <w:rPr>
                <w:rStyle w:val="Style17"/>
                <w:sz w:val="22"/>
                <w:szCs w:val="22"/>
              </w:rPr>
              <w:t>- Федеральный закон от 04.05.1999 г. № 96-ФЗ «Об охране атмосферного воздуха» (ред. от 31.12.2005 г.);</w:t>
            </w:r>
          </w:p>
          <w:p>
            <w:pPr>
              <w:pStyle w:val="Normal"/>
              <w:tabs>
                <w:tab w:val="left" w:pos="900" w:leader="none"/>
              </w:tabs>
              <w:spacing w:lineRule="auto" w:line="240" w:before="0" w:after="0"/>
              <w:jc w:val="both"/>
              <w:rPr>
                <w:rStyle w:val="Style17"/>
                <w:sz w:val="22"/>
                <w:szCs w:val="22"/>
              </w:rPr>
            </w:pPr>
            <w:r>
              <w:rPr>
                <w:rStyle w:val="Style17"/>
                <w:sz w:val="22"/>
                <w:szCs w:val="22"/>
              </w:rPr>
              <w:t>- Водный кодекс Российской Федерации от 03.06.2006 г. № 74-ФЗ.</w:t>
            </w:r>
          </w:p>
          <w:p>
            <w:pPr>
              <w:pStyle w:val="Normal"/>
              <w:tabs>
                <w:tab w:val="left" w:pos="900" w:leader="none"/>
              </w:tabs>
              <w:spacing w:lineRule="auto" w:line="240" w:before="0" w:after="0"/>
              <w:jc w:val="both"/>
              <w:rPr>
                <w:rStyle w:val="Style17"/>
                <w:sz w:val="22"/>
                <w:szCs w:val="22"/>
              </w:rPr>
            </w:pPr>
            <w:r>
              <w:rPr>
                <w:rStyle w:val="Style17"/>
                <w:sz w:val="22"/>
                <w:szCs w:val="22"/>
              </w:rPr>
              <w:t>- Постановление Правительства РФ от 31.03.2003 г. №177 «Об организации и осуществлении государственного мониторинга окружающей среды (государственного экологического мониторинга)».</w:t>
            </w:r>
          </w:p>
          <w:p>
            <w:pPr>
              <w:pStyle w:val="Normal"/>
              <w:tabs>
                <w:tab w:val="left" w:pos="900" w:leader="none"/>
              </w:tabs>
              <w:spacing w:lineRule="auto" w:line="240" w:before="0" w:after="0"/>
              <w:jc w:val="both"/>
              <w:rPr>
                <w:rStyle w:val="Style17"/>
                <w:sz w:val="22"/>
                <w:szCs w:val="22"/>
              </w:rPr>
            </w:pPr>
            <w:r>
              <w:rPr>
                <w:rStyle w:val="Style17"/>
                <w:sz w:val="22"/>
                <w:szCs w:val="22"/>
              </w:rPr>
              <w:t>-Положение о порядке осуществления государственного мониторинга состояния недр Российской Федерации, утвержденного приказом МПР России от 21.05.2001 г. № 433;</w:t>
            </w:r>
          </w:p>
          <w:p>
            <w:pPr>
              <w:pStyle w:val="Normal"/>
              <w:tabs>
                <w:tab w:val="left" w:pos="900" w:leader="none"/>
              </w:tabs>
              <w:spacing w:lineRule="auto" w:line="240" w:before="0" w:after="0"/>
              <w:jc w:val="both"/>
              <w:rPr>
                <w:rStyle w:val="Style17"/>
                <w:sz w:val="22"/>
                <w:szCs w:val="22"/>
              </w:rPr>
            </w:pPr>
            <w:r>
              <w:rPr>
                <w:rStyle w:val="Style17"/>
                <w:sz w:val="22"/>
                <w:szCs w:val="22"/>
              </w:rPr>
              <w:t>- Нормы радиационной безопасности (НРБ-99), СП 2.6.1.758-99, Минздрав РФ, 1999.</w:t>
            </w:r>
          </w:p>
          <w:p>
            <w:pPr>
              <w:pStyle w:val="Normal"/>
              <w:tabs>
                <w:tab w:val="left" w:pos="900" w:leader="none"/>
              </w:tabs>
              <w:spacing w:lineRule="auto" w:line="240" w:before="0" w:after="0"/>
              <w:jc w:val="both"/>
              <w:rPr/>
            </w:pPr>
            <w:r>
              <w:rPr>
                <w:rStyle w:val="Style17"/>
                <w:sz w:val="22"/>
                <w:szCs w:val="22"/>
              </w:rPr>
              <w:t>- Рекомендуемые программные средства и форматы данных, представляемые в систему фондов геологической информации на машинных носителях (письмо Росгеолфонда от 28.01.2005 г. №-01/75).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Объекты исследования: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tLeast" w:line="25" w:before="0" w:after="0"/>
              <w:rPr/>
            </w:pPr>
            <w:r>
              <w:rPr/>
              <w:t>оверхностные воды, снеговой покров, почвенный покров.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10.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Основные  геоэкологические и геологические задачи. 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A"/>
                <w:sz w:val="22"/>
                <w:szCs w:val="22"/>
              </w:rPr>
              <w:t>Основные геоэкологические и геологические задачи: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-оценить современное состояние окружающей среды </w:t>
            </w:r>
            <w:r>
              <w:rPr>
                <w:rStyle w:val="Style17"/>
                <w:sz w:val="22"/>
                <w:szCs w:val="22"/>
              </w:rPr>
              <w:t>лицензионного участка</w:t>
            </w:r>
            <w:r>
              <w:rPr>
                <w:szCs w:val="22"/>
              </w:rPr>
              <w:t>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-установить фоновые показатели;</w:t>
            </w:r>
          </w:p>
          <w:p>
            <w:pPr>
              <w:pStyle w:val="Normal"/>
              <w:spacing w:lineRule="auto" w:line="240" w:before="0" w:after="0"/>
              <w:rPr>
                <w:szCs w:val="22"/>
              </w:rPr>
            </w:pPr>
            <w:r>
              <w:rPr>
                <w:szCs w:val="22"/>
              </w:rPr>
              <w:t>-рекомендовать расположение пробных площадок для ведения регулярных мониторинговых исследований на Лицензионном участке при добыче полезного ископаемого.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>
                <w:szCs w:val="22"/>
              </w:rPr>
            </w:pPr>
            <w:r>
              <w:rPr>
                <w:szCs w:val="22"/>
              </w:rPr>
              <w:t>11.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>
                <w:szCs w:val="22"/>
              </w:rPr>
            </w:pPr>
            <w:r>
              <w:rPr>
                <w:b/>
                <w:szCs w:val="22"/>
              </w:rPr>
              <w:t>Последовательно-сть и основные методы их решения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 xml:space="preserve">Этап </w:t>
            </w:r>
            <w:r>
              <w:rPr>
                <w:b/>
                <w:szCs w:val="22"/>
                <w:lang w:val="en-US"/>
              </w:rPr>
              <w:t>I</w:t>
            </w:r>
            <w:r>
              <w:rPr>
                <w:b/>
                <w:szCs w:val="22"/>
              </w:rPr>
              <w:t xml:space="preserve">. </w:t>
            </w:r>
            <w:r>
              <w:rPr>
                <w:b/>
                <w:szCs w:val="22"/>
                <w:lang w:val="en-US"/>
              </w:rPr>
              <w:t>II</w:t>
            </w:r>
            <w:r>
              <w:rPr>
                <w:b/>
                <w:szCs w:val="22"/>
              </w:rPr>
              <w:t>-</w:t>
            </w:r>
            <w:r>
              <w:rPr>
                <w:b/>
                <w:szCs w:val="22"/>
                <w:lang w:val="en-US"/>
              </w:rPr>
              <w:t>III</w:t>
            </w:r>
            <w:r>
              <w:rPr>
                <w:b/>
                <w:szCs w:val="22"/>
              </w:rPr>
              <w:t xml:space="preserve"> квартал 2020 г.</w:t>
            </w:r>
            <w:r>
              <w:rPr>
                <w:szCs w:val="22"/>
              </w:rPr>
              <w:t>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Составление Программы оценки фонового состояния окружающей природной среды </w:t>
            </w:r>
            <w:r>
              <w:rPr>
                <w:rStyle w:val="Style17"/>
                <w:sz w:val="22"/>
                <w:szCs w:val="22"/>
              </w:rPr>
              <w:t>в пределах лицензионного участка</w:t>
            </w:r>
            <w:r>
              <w:rPr>
                <w:szCs w:val="22"/>
              </w:rPr>
              <w:t>. Согласование программы работ с профильным комитетом правительства ЕАО и Департаментом по недропользованию по Дальневосточному федеральному округу.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Гидрологические наблюдения и измерения (уровень, расходы, скорость течения, температура, мутность). </w:t>
            </w:r>
          </w:p>
          <w:p>
            <w:pPr>
              <w:pStyle w:val="Normal"/>
              <w:tabs>
                <w:tab w:val="left" w:pos="4401" w:leader="none"/>
              </w:tabs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Опробование поверхностных вод </w:t>
            </w:r>
            <w:r>
              <w:rPr>
                <w:rStyle w:val="Style17"/>
                <w:sz w:val="22"/>
                <w:szCs w:val="22"/>
              </w:rPr>
              <w:t xml:space="preserve">на вкус, запах, цветность, мутность, рН, </w:t>
            </w:r>
            <w:r>
              <w:rPr>
                <w:szCs w:val="22"/>
              </w:rPr>
              <w:t>натрий, калий, кальций, магний, гидрокарбонаты, сульфаты, хлориды, нитраты, нитриты, аммоний, общая жесткость, общая и устранимая жесткость, двуокись углерода, железо общее и закисное, кремневая кислота, окисляемость, сухой остаток, фтор и алюминий (</w:t>
            </w:r>
            <w:r>
              <w:rPr>
                <w:b/>
                <w:szCs w:val="22"/>
              </w:rPr>
              <w:t>ПХА+</w:t>
            </w:r>
            <w:r>
              <w:rPr>
                <w:b/>
                <w:szCs w:val="22"/>
                <w:lang w:val="en-US"/>
              </w:rPr>
              <w:t>F</w:t>
            </w:r>
            <w:r>
              <w:rPr>
                <w:b/>
                <w:szCs w:val="22"/>
              </w:rPr>
              <w:t>+</w:t>
            </w:r>
            <w:r>
              <w:rPr>
                <w:b/>
                <w:szCs w:val="22"/>
                <w:lang w:val="en-US"/>
              </w:rPr>
              <w:t>Al</w:t>
            </w:r>
            <w:r>
              <w:rPr>
                <w:szCs w:val="22"/>
              </w:rPr>
              <w:t>), нефтепродукты, цианиды, ртуть, фенолы, термотолерантные колиморфные бактерии, общие колиморфные бактерии и общее микробное число (баканализ); альфа- и бета активность радионуклидов.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Определение в сухом остатке поверхностных вод 40 микроэлементов.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Опробование вод р. Савкина на соответствие СанПиН 2.1.4.1074-01.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Опробование вод родников </w:t>
            </w:r>
            <w:r>
              <w:rPr>
                <w:rStyle w:val="Style17"/>
                <w:sz w:val="22"/>
                <w:szCs w:val="22"/>
              </w:rPr>
              <w:t xml:space="preserve">на </w:t>
            </w:r>
            <w:r>
              <w:rPr>
                <w:b/>
                <w:szCs w:val="22"/>
              </w:rPr>
              <w:t>ПХА+</w:t>
            </w:r>
            <w:r>
              <w:rPr>
                <w:b/>
                <w:szCs w:val="22"/>
                <w:lang w:val="en-US"/>
              </w:rPr>
              <w:t>F</w:t>
            </w:r>
            <w:r>
              <w:rPr>
                <w:b/>
                <w:szCs w:val="22"/>
              </w:rPr>
              <w:t>+</w:t>
            </w:r>
            <w:r>
              <w:rPr>
                <w:b/>
                <w:szCs w:val="22"/>
                <w:lang w:val="en-US"/>
              </w:rPr>
              <w:t>Al</w:t>
            </w:r>
            <w:r>
              <w:rPr>
                <w:b/>
                <w:szCs w:val="22"/>
              </w:rPr>
              <w:t>.</w:t>
            </w:r>
            <w:r>
              <w:rPr>
                <w:rStyle w:val="Style17"/>
                <w:sz w:val="22"/>
                <w:szCs w:val="22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Геоэкологическое исследование состояния окружающей среды с опробованием поверхностных вод, почв и растительности:</w:t>
            </w:r>
          </w:p>
          <w:p>
            <w:pPr>
              <w:pStyle w:val="Normal"/>
              <w:tabs>
                <w:tab w:val="left" w:pos="4401" w:leader="none"/>
              </w:tabs>
              <w:spacing w:lineRule="auto" w:line="240" w:before="0" w:after="0"/>
              <w:jc w:val="both"/>
              <w:rPr>
                <w:b/>
                <w:b/>
                <w:szCs w:val="22"/>
              </w:rPr>
            </w:pPr>
            <w:r>
              <w:rPr>
                <w:szCs w:val="22"/>
              </w:rPr>
              <w:t xml:space="preserve">-опробование поверхностных вод </w:t>
            </w:r>
            <w:r>
              <w:rPr>
                <w:rStyle w:val="Style17"/>
                <w:sz w:val="22"/>
                <w:szCs w:val="22"/>
              </w:rPr>
              <w:t xml:space="preserve">на </w:t>
            </w:r>
            <w:r>
              <w:rPr>
                <w:b/>
                <w:szCs w:val="22"/>
              </w:rPr>
              <w:t>ПХА+</w:t>
            </w:r>
            <w:r>
              <w:rPr>
                <w:b/>
                <w:szCs w:val="22"/>
                <w:lang w:val="en-US"/>
              </w:rPr>
              <w:t>F</w:t>
            </w:r>
            <w:r>
              <w:rPr>
                <w:b/>
                <w:szCs w:val="22"/>
              </w:rPr>
              <w:t>+</w:t>
            </w:r>
            <w:r>
              <w:rPr>
                <w:b/>
                <w:szCs w:val="22"/>
                <w:lang w:val="en-US"/>
              </w:rPr>
              <w:t>Al</w:t>
            </w:r>
            <w:r>
              <w:rPr>
                <w:b/>
                <w:szCs w:val="22"/>
              </w:rPr>
              <w:t>;</w:t>
            </w:r>
          </w:p>
          <w:p>
            <w:pPr>
              <w:pStyle w:val="Normal"/>
              <w:tabs>
                <w:tab w:val="left" w:pos="4401" w:leader="none"/>
              </w:tabs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-</w:t>
            </w:r>
            <w:r>
              <w:rPr>
                <w:szCs w:val="22"/>
              </w:rPr>
              <w:t xml:space="preserve">определение в сухом остатке поверхностных вод 40 микроэлементов;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-определение в донных отложениях 25 химических элементов, летучих токсичных элементов (</w:t>
            </w:r>
            <w:r>
              <w:rPr>
                <w:rStyle w:val="Style17"/>
                <w:sz w:val="22"/>
                <w:szCs w:val="22"/>
                <w:lang w:val="en-US"/>
              </w:rPr>
              <w:t>Hg</w:t>
            </w:r>
            <w:r>
              <w:rPr>
                <w:rStyle w:val="Style17"/>
                <w:sz w:val="22"/>
                <w:szCs w:val="22"/>
              </w:rPr>
              <w:t xml:space="preserve">, </w:t>
            </w:r>
            <w:r>
              <w:rPr>
                <w:rStyle w:val="Style17"/>
                <w:sz w:val="22"/>
                <w:szCs w:val="22"/>
                <w:lang w:val="en-US"/>
              </w:rPr>
              <w:t>Cd</w:t>
            </w:r>
            <w:r>
              <w:rPr>
                <w:rStyle w:val="Style17"/>
                <w:sz w:val="22"/>
                <w:szCs w:val="22"/>
              </w:rPr>
              <w:t xml:space="preserve">, </w:t>
            </w:r>
            <w:r>
              <w:rPr>
                <w:rStyle w:val="Style17"/>
                <w:sz w:val="22"/>
                <w:szCs w:val="22"/>
                <w:lang w:val="en-US"/>
              </w:rPr>
              <w:t>As</w:t>
            </w:r>
            <w:r>
              <w:rPr>
                <w:rStyle w:val="Style17"/>
                <w:sz w:val="22"/>
                <w:szCs w:val="22"/>
              </w:rPr>
              <w:t xml:space="preserve">, </w:t>
            </w:r>
            <w:r>
              <w:rPr>
                <w:rStyle w:val="Style17"/>
                <w:sz w:val="22"/>
                <w:szCs w:val="22"/>
                <w:lang w:val="en-US"/>
              </w:rPr>
              <w:t>Sb</w:t>
            </w:r>
            <w:r>
              <w:rPr>
                <w:rStyle w:val="Style17"/>
                <w:sz w:val="22"/>
                <w:szCs w:val="22"/>
              </w:rPr>
              <w:t xml:space="preserve">, </w:t>
            </w:r>
            <w:r>
              <w:rPr>
                <w:rStyle w:val="Style17"/>
                <w:sz w:val="22"/>
                <w:szCs w:val="22"/>
                <w:lang w:val="en-US"/>
              </w:rPr>
              <w:t>F</w:t>
            </w:r>
            <w:r>
              <w:rPr>
                <w:rStyle w:val="Style17"/>
                <w:sz w:val="22"/>
                <w:szCs w:val="22"/>
              </w:rPr>
              <w:t>) и γ-спектрометрический анализ.</w:t>
            </w:r>
            <w:r>
              <w:rPr>
                <w:szCs w:val="22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Style w:val="Style17"/>
                <w:sz w:val="22"/>
                <w:szCs w:val="22"/>
              </w:rPr>
            </w:pPr>
            <w:r>
              <w:rPr>
                <w:szCs w:val="22"/>
              </w:rPr>
              <w:t>-определение в гумусовом слое почв МЭД, 25 химических элементов,  летучих токсичных элементов (</w:t>
            </w:r>
            <w:r>
              <w:rPr>
                <w:rStyle w:val="Style17"/>
                <w:sz w:val="22"/>
                <w:szCs w:val="22"/>
                <w:lang w:val="en-US"/>
              </w:rPr>
              <w:t>Hg</w:t>
            </w:r>
            <w:r>
              <w:rPr>
                <w:rStyle w:val="Style17"/>
                <w:sz w:val="22"/>
                <w:szCs w:val="22"/>
              </w:rPr>
              <w:t xml:space="preserve">, </w:t>
            </w:r>
            <w:r>
              <w:rPr>
                <w:rStyle w:val="Style17"/>
                <w:sz w:val="22"/>
                <w:szCs w:val="22"/>
                <w:lang w:val="en-US"/>
              </w:rPr>
              <w:t>Cd</w:t>
            </w:r>
            <w:r>
              <w:rPr>
                <w:rStyle w:val="Style17"/>
                <w:sz w:val="22"/>
                <w:szCs w:val="22"/>
              </w:rPr>
              <w:t xml:space="preserve">, </w:t>
            </w:r>
            <w:r>
              <w:rPr>
                <w:rStyle w:val="Style17"/>
                <w:sz w:val="22"/>
                <w:szCs w:val="22"/>
                <w:lang w:val="en-US"/>
              </w:rPr>
              <w:t>As</w:t>
            </w:r>
            <w:r>
              <w:rPr>
                <w:rStyle w:val="Style17"/>
                <w:sz w:val="22"/>
                <w:szCs w:val="22"/>
              </w:rPr>
              <w:t xml:space="preserve">, </w:t>
            </w:r>
            <w:r>
              <w:rPr>
                <w:rStyle w:val="Style17"/>
                <w:sz w:val="22"/>
                <w:szCs w:val="22"/>
                <w:lang w:val="en-US"/>
              </w:rPr>
              <w:t>Sb</w:t>
            </w:r>
            <w:r>
              <w:rPr>
                <w:rStyle w:val="Style17"/>
                <w:sz w:val="22"/>
                <w:szCs w:val="22"/>
              </w:rPr>
              <w:t xml:space="preserve">, </w:t>
            </w:r>
            <w:r>
              <w:rPr>
                <w:rStyle w:val="Style17"/>
                <w:sz w:val="22"/>
                <w:szCs w:val="22"/>
                <w:lang w:val="en-US"/>
              </w:rPr>
              <w:t>F</w:t>
            </w:r>
            <w:r>
              <w:rPr>
                <w:rStyle w:val="Style17"/>
                <w:sz w:val="22"/>
                <w:szCs w:val="22"/>
              </w:rPr>
              <w:t>) и потенциального плодородия (рН, содержание гумуса, засоленность, С</w:t>
            </w:r>
            <w:r>
              <w:rPr>
                <w:rStyle w:val="Style17"/>
                <w:sz w:val="22"/>
                <w:szCs w:val="22"/>
                <w:vertAlign w:val="subscript"/>
              </w:rPr>
              <w:t>орг</w:t>
            </w:r>
            <w:r>
              <w:rPr>
                <w:rStyle w:val="Style17"/>
                <w:sz w:val="22"/>
                <w:szCs w:val="22"/>
              </w:rPr>
              <w:t xml:space="preserve">, </w:t>
            </w:r>
            <w:r>
              <w:rPr>
                <w:rStyle w:val="Style17"/>
                <w:sz w:val="22"/>
                <w:szCs w:val="22"/>
                <w:lang w:val="en-US"/>
              </w:rPr>
              <w:t>N</w:t>
            </w:r>
            <w:r>
              <w:rPr>
                <w:rStyle w:val="Style17"/>
                <w:sz w:val="22"/>
                <w:szCs w:val="22"/>
                <w:vertAlign w:val="subscript"/>
              </w:rPr>
              <w:t>общ</w:t>
            </w:r>
            <w:r>
              <w:rPr>
                <w:rStyle w:val="Style17"/>
                <w:sz w:val="22"/>
                <w:szCs w:val="22"/>
              </w:rPr>
              <w:t xml:space="preserve">, Р, емкость поглощения, обменные ионы, </w:t>
            </w:r>
            <w:r>
              <w:rPr>
                <w:rStyle w:val="Style17"/>
                <w:sz w:val="22"/>
                <w:szCs w:val="22"/>
                <w:lang w:val="en-US"/>
              </w:rPr>
              <w:t>S</w:t>
            </w:r>
            <w:r>
              <w:rPr>
                <w:rStyle w:val="Style17"/>
                <w:sz w:val="22"/>
                <w:szCs w:val="22"/>
                <w:vertAlign w:val="subscript"/>
              </w:rPr>
              <w:t>общ</w:t>
            </w:r>
            <w:r>
              <w:rPr>
                <w:rStyle w:val="Style17"/>
                <w:sz w:val="22"/>
                <w:szCs w:val="22"/>
              </w:rPr>
              <w:t>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Style w:val="Style17"/>
                <w:sz w:val="22"/>
                <w:szCs w:val="22"/>
              </w:rPr>
            </w:pPr>
            <w:r>
              <w:rPr>
                <w:rStyle w:val="Style17"/>
                <w:sz w:val="22"/>
                <w:szCs w:val="22"/>
              </w:rPr>
              <w:t xml:space="preserve">-определение в березовом подросте </w:t>
            </w:r>
            <w:r>
              <w:rPr>
                <w:szCs w:val="22"/>
              </w:rPr>
              <w:t>25 химических элементов, летучих токсичных элементов (</w:t>
            </w:r>
            <w:r>
              <w:rPr>
                <w:rStyle w:val="Style17"/>
                <w:sz w:val="22"/>
                <w:szCs w:val="22"/>
                <w:lang w:val="en-US"/>
              </w:rPr>
              <w:t>Hg</w:t>
            </w:r>
            <w:r>
              <w:rPr>
                <w:rStyle w:val="Style17"/>
                <w:sz w:val="22"/>
                <w:szCs w:val="22"/>
              </w:rPr>
              <w:t xml:space="preserve">, </w:t>
            </w:r>
            <w:r>
              <w:rPr>
                <w:rStyle w:val="Style17"/>
                <w:sz w:val="22"/>
                <w:szCs w:val="22"/>
                <w:lang w:val="en-US"/>
              </w:rPr>
              <w:t>Cd</w:t>
            </w:r>
            <w:r>
              <w:rPr>
                <w:rStyle w:val="Style17"/>
                <w:sz w:val="22"/>
                <w:szCs w:val="22"/>
              </w:rPr>
              <w:t xml:space="preserve">, </w:t>
            </w:r>
            <w:r>
              <w:rPr>
                <w:rStyle w:val="Style17"/>
                <w:sz w:val="22"/>
                <w:szCs w:val="22"/>
                <w:lang w:val="en-US"/>
              </w:rPr>
              <w:t>As</w:t>
            </w:r>
            <w:r>
              <w:rPr>
                <w:rStyle w:val="Style17"/>
                <w:sz w:val="22"/>
                <w:szCs w:val="22"/>
              </w:rPr>
              <w:t xml:space="preserve">, </w:t>
            </w:r>
            <w:r>
              <w:rPr>
                <w:rStyle w:val="Style17"/>
                <w:sz w:val="22"/>
                <w:szCs w:val="22"/>
                <w:lang w:val="en-US"/>
              </w:rPr>
              <w:t>Sb</w:t>
            </w:r>
            <w:r>
              <w:rPr>
                <w:rStyle w:val="Style17"/>
                <w:sz w:val="22"/>
                <w:szCs w:val="22"/>
              </w:rPr>
              <w:t xml:space="preserve">, </w:t>
            </w:r>
            <w:r>
              <w:rPr>
                <w:rStyle w:val="Style17"/>
                <w:sz w:val="22"/>
                <w:szCs w:val="22"/>
                <w:lang w:val="en-US"/>
              </w:rPr>
              <w:t>F</w:t>
            </w:r>
            <w:r>
              <w:rPr>
                <w:rStyle w:val="Style17"/>
                <w:sz w:val="22"/>
                <w:szCs w:val="22"/>
              </w:rPr>
              <w:t>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Камеральные работы, обобщение и интерпретация полученных данных, математическая обработка результатов анализов. Составление и утверждение промежуточного отчета о результатах изучения фонового состояния окружающей среды.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 xml:space="preserve">Этап </w:t>
            </w:r>
            <w:r>
              <w:rPr>
                <w:b/>
                <w:szCs w:val="22"/>
                <w:lang w:val="en-US"/>
              </w:rPr>
              <w:t>II</w:t>
            </w:r>
            <w:r>
              <w:rPr>
                <w:b/>
                <w:szCs w:val="22"/>
              </w:rPr>
              <w:t xml:space="preserve">. </w:t>
            </w:r>
            <w:r>
              <w:rPr>
                <w:b/>
                <w:szCs w:val="22"/>
                <w:lang w:val="en-US"/>
              </w:rPr>
              <w:t>IV</w:t>
            </w:r>
            <w:r>
              <w:rPr>
                <w:b/>
                <w:szCs w:val="22"/>
              </w:rPr>
              <w:t xml:space="preserve"> квартал 2020 г.- </w:t>
            </w:r>
            <w:r>
              <w:rPr>
                <w:b/>
                <w:szCs w:val="22"/>
                <w:lang w:val="en-US"/>
              </w:rPr>
              <w:t>I</w:t>
            </w:r>
            <w:r>
              <w:rPr>
                <w:b/>
                <w:szCs w:val="22"/>
              </w:rPr>
              <w:t xml:space="preserve"> квартал 2022 г.</w:t>
            </w:r>
            <w:r>
              <w:rPr>
                <w:szCs w:val="22"/>
              </w:rPr>
              <w:t>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Гидрологические наблюдения и измерения (уровень, расходы, скорость течения, температура, мутность); зимнее обследование рек и родников.</w:t>
            </w:r>
          </w:p>
          <w:p>
            <w:pPr>
              <w:pStyle w:val="Normal"/>
              <w:tabs>
                <w:tab w:val="left" w:pos="4401" w:leader="none"/>
              </w:tabs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Опробование поверхностных вод </w:t>
            </w:r>
            <w:r>
              <w:rPr>
                <w:rStyle w:val="Style17"/>
                <w:sz w:val="22"/>
                <w:szCs w:val="22"/>
              </w:rPr>
              <w:t>на</w:t>
            </w:r>
            <w:r>
              <w:rPr>
                <w:szCs w:val="22"/>
              </w:rPr>
              <w:t xml:space="preserve"> (</w:t>
            </w:r>
            <w:r>
              <w:rPr>
                <w:b/>
                <w:szCs w:val="22"/>
              </w:rPr>
              <w:t>ПХА+</w:t>
            </w:r>
            <w:r>
              <w:rPr>
                <w:b/>
                <w:szCs w:val="22"/>
                <w:lang w:val="en-US"/>
              </w:rPr>
              <w:t>F</w:t>
            </w:r>
            <w:r>
              <w:rPr>
                <w:b/>
                <w:szCs w:val="22"/>
              </w:rPr>
              <w:t>+</w:t>
            </w:r>
            <w:r>
              <w:rPr>
                <w:b/>
                <w:szCs w:val="22"/>
                <w:lang w:val="en-US"/>
              </w:rPr>
              <w:t>Al</w:t>
            </w:r>
            <w:r>
              <w:rPr>
                <w:szCs w:val="22"/>
              </w:rPr>
              <w:t>), нефтепродукты, цианиды, ртуть, фенолы, баканализ; альфа- и бета активность радионуклидов;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Определение в сухом остатке поверхностных вод 40 микроэлементов;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Опробование вод родников </w:t>
            </w:r>
            <w:r>
              <w:rPr>
                <w:rStyle w:val="Style17"/>
                <w:sz w:val="22"/>
                <w:szCs w:val="22"/>
              </w:rPr>
              <w:t xml:space="preserve">на </w:t>
            </w:r>
            <w:r>
              <w:rPr>
                <w:b/>
                <w:szCs w:val="22"/>
              </w:rPr>
              <w:t>ПХА+</w:t>
            </w:r>
            <w:r>
              <w:rPr>
                <w:b/>
                <w:szCs w:val="22"/>
                <w:lang w:val="en-US"/>
              </w:rPr>
              <w:t>F</w:t>
            </w:r>
            <w:r>
              <w:rPr>
                <w:b/>
                <w:szCs w:val="22"/>
              </w:rPr>
              <w:t>+</w:t>
            </w:r>
            <w:r>
              <w:rPr>
                <w:b/>
                <w:szCs w:val="22"/>
                <w:lang w:val="en-US"/>
              </w:rPr>
              <w:t>Al</w:t>
            </w:r>
            <w:r>
              <w:rPr>
                <w:b/>
                <w:szCs w:val="22"/>
              </w:rPr>
              <w:t>.</w:t>
            </w:r>
            <w:r>
              <w:rPr>
                <w:rStyle w:val="Style17"/>
                <w:sz w:val="22"/>
                <w:szCs w:val="22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Геоэкологическое исследование снежного покрова:</w:t>
            </w:r>
          </w:p>
          <w:p>
            <w:pPr>
              <w:pStyle w:val="Normal"/>
              <w:tabs>
                <w:tab w:val="left" w:pos="4401" w:leader="none"/>
              </w:tabs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-опробование снежного покрова </w:t>
            </w:r>
            <w:r>
              <w:rPr>
                <w:rStyle w:val="Style17"/>
                <w:sz w:val="22"/>
                <w:szCs w:val="22"/>
              </w:rPr>
              <w:t xml:space="preserve">на </w:t>
            </w:r>
            <w:r>
              <w:rPr>
                <w:b/>
                <w:szCs w:val="22"/>
              </w:rPr>
              <w:t>ПХА+</w:t>
            </w:r>
            <w:r>
              <w:rPr>
                <w:b/>
                <w:szCs w:val="22"/>
                <w:lang w:val="en-US"/>
              </w:rPr>
              <w:t>F</w:t>
            </w:r>
            <w:r>
              <w:rPr>
                <w:b/>
                <w:szCs w:val="22"/>
              </w:rPr>
              <w:t>+</w:t>
            </w:r>
            <w:r>
              <w:rPr>
                <w:b/>
                <w:szCs w:val="22"/>
                <w:lang w:val="en-US"/>
              </w:rPr>
              <w:t>Al</w:t>
            </w:r>
            <w:r>
              <w:rPr>
                <w:szCs w:val="22"/>
              </w:rPr>
              <w:t>, нефтепродукты и фенолы</w:t>
            </w:r>
            <w:r>
              <w:rPr>
                <w:b/>
                <w:szCs w:val="22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-определение в сухом остатке талых вод 40 микроэлементов;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Style w:val="Style17"/>
                <w:sz w:val="22"/>
                <w:szCs w:val="22"/>
              </w:rPr>
            </w:pPr>
            <w:r>
              <w:rPr>
                <w:rStyle w:val="Style17"/>
                <w:sz w:val="22"/>
                <w:szCs w:val="22"/>
              </w:rPr>
              <w:t>- определение в сухом остатке летучих тяжелых элементов (</w:t>
            </w:r>
            <w:r>
              <w:rPr>
                <w:rStyle w:val="Style17"/>
                <w:sz w:val="22"/>
                <w:szCs w:val="22"/>
                <w:lang w:val="en-US"/>
              </w:rPr>
              <w:t>Hg</w:t>
            </w:r>
            <w:r>
              <w:rPr>
                <w:rStyle w:val="Style17"/>
                <w:sz w:val="22"/>
                <w:szCs w:val="22"/>
              </w:rPr>
              <w:t xml:space="preserve">, </w:t>
            </w:r>
            <w:r>
              <w:rPr>
                <w:rStyle w:val="Style17"/>
                <w:sz w:val="22"/>
                <w:szCs w:val="22"/>
                <w:lang w:val="en-US"/>
              </w:rPr>
              <w:t>Cd</w:t>
            </w:r>
            <w:r>
              <w:rPr>
                <w:rStyle w:val="Style17"/>
                <w:sz w:val="22"/>
                <w:szCs w:val="22"/>
              </w:rPr>
              <w:t xml:space="preserve">, </w:t>
            </w:r>
            <w:r>
              <w:rPr>
                <w:rStyle w:val="Style17"/>
                <w:sz w:val="22"/>
                <w:szCs w:val="22"/>
                <w:lang w:val="en-US"/>
              </w:rPr>
              <w:t>As</w:t>
            </w:r>
            <w:r>
              <w:rPr>
                <w:rStyle w:val="Style17"/>
                <w:sz w:val="22"/>
                <w:szCs w:val="22"/>
              </w:rPr>
              <w:t xml:space="preserve">, </w:t>
            </w:r>
            <w:r>
              <w:rPr>
                <w:rStyle w:val="Style17"/>
                <w:sz w:val="22"/>
                <w:szCs w:val="22"/>
                <w:lang w:val="en-US"/>
              </w:rPr>
              <w:t>Sb</w:t>
            </w:r>
            <w:r>
              <w:rPr>
                <w:rStyle w:val="Style17"/>
                <w:sz w:val="22"/>
                <w:szCs w:val="22"/>
              </w:rPr>
              <w:t xml:space="preserve">, </w:t>
            </w:r>
            <w:r>
              <w:rPr>
                <w:rStyle w:val="Style17"/>
                <w:sz w:val="22"/>
                <w:szCs w:val="22"/>
                <w:lang w:val="en-US"/>
              </w:rPr>
              <w:t>F</w:t>
            </w:r>
            <w:r>
              <w:rPr>
                <w:rStyle w:val="Style17"/>
                <w:sz w:val="22"/>
                <w:szCs w:val="22"/>
              </w:rPr>
              <w:t>).</w:t>
            </w:r>
          </w:p>
          <w:p>
            <w:pPr>
              <w:pStyle w:val="Normal"/>
              <w:tabs>
                <w:tab w:val="left" w:pos="4401" w:leader="none"/>
              </w:tabs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-проведение лабораторных исследований;</w:t>
              <w:tab/>
            </w:r>
          </w:p>
          <w:p>
            <w:pPr>
              <w:pStyle w:val="Normal"/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-окончательная камеральная обработка результатов, обобщение и интерпретация полученных данных, математическая обработка результатов анализов;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-составление и утверждение заключительно отчета о результатах изучения фонового состояния окружающей среды. 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12.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Ожидаемые результаты: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Style19"/>
              <w:spacing w:lineRule="auto" w:line="240" w:before="0" w:after="0"/>
              <w:rPr>
                <w:szCs w:val="22"/>
              </w:rPr>
            </w:pPr>
            <w:r>
              <w:rPr>
                <w:szCs w:val="22"/>
              </w:rPr>
              <w:t>Программа ведения экологического мониторинга на</w:t>
            </w:r>
            <w:r>
              <w:rPr>
                <w:rStyle w:val="Style17"/>
                <w:sz w:val="22"/>
                <w:szCs w:val="22"/>
              </w:rPr>
              <w:t xml:space="preserve"> площади лицензионного участка</w:t>
            </w:r>
            <w:r>
              <w:rPr>
                <w:szCs w:val="22"/>
              </w:rPr>
              <w:t xml:space="preserve">, согласованная с Департаментом по недропользованию по Дальневосточному федеральному округу. </w:t>
            </w:r>
          </w:p>
          <w:p>
            <w:pPr>
              <w:pStyle w:val="Style19"/>
              <w:spacing w:lineRule="auto" w:line="240" w:before="0" w:after="0"/>
              <w:rPr>
                <w:szCs w:val="22"/>
              </w:rPr>
            </w:pPr>
            <w:r>
              <w:rPr>
                <w:szCs w:val="22"/>
              </w:rPr>
              <w:t xml:space="preserve">Оценка состояния компонентов окружающей природной среды на </w:t>
            </w:r>
            <w:r>
              <w:rPr>
                <w:rStyle w:val="Style17"/>
                <w:sz w:val="22"/>
                <w:szCs w:val="22"/>
              </w:rPr>
              <w:t>площади лицензионного участка до начала поисково-оценочных работ и промышленной добычи или строительства объектов инфраструктуры.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13.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0" w:after="0"/>
              <w:outlineLvl w:val="1"/>
              <w:rPr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Формы отчетной документации: 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Style19"/>
              <w:spacing w:lineRule="auto" w:line="240" w:before="0" w:after="0"/>
              <w:rPr/>
            </w:pPr>
            <w:r>
              <w:rPr/>
              <w:t>Ежеквартальные информационные отчеты о результатах выполненных работ.</w:t>
            </w:r>
          </w:p>
          <w:p>
            <w:pPr>
              <w:pStyle w:val="Style19"/>
              <w:spacing w:lineRule="auto" w:line="240" w:before="0" w:after="0"/>
              <w:rPr>
                <w:szCs w:val="22"/>
              </w:rPr>
            </w:pPr>
            <w:r>
              <w:rPr>
                <w:szCs w:val="22"/>
              </w:rPr>
              <w:t xml:space="preserve">Отчет </w:t>
            </w:r>
            <w:r>
              <w:rPr>
                <w:spacing w:val="1"/>
                <w:szCs w:val="22"/>
              </w:rPr>
              <w:t xml:space="preserve">о результатах выполненных работ </w:t>
            </w:r>
            <w:r>
              <w:rPr>
                <w:szCs w:val="22"/>
              </w:rPr>
              <w:t xml:space="preserve">«Определение фонового состояния окружающей природной среды </w:t>
            </w:r>
            <w:r>
              <w:rPr>
                <w:rStyle w:val="Style17"/>
                <w:sz w:val="22"/>
                <w:szCs w:val="22"/>
              </w:rPr>
              <w:t>в пределах лицензионного участка на Савкинском месторождении брусита</w:t>
            </w:r>
            <w:r>
              <w:rPr>
                <w:szCs w:val="22"/>
              </w:rPr>
              <w:t xml:space="preserve">» предоставляется в Департамент по недропользованию по Дальневосточному федеральному округу. </w:t>
            </w:r>
          </w:p>
          <w:p>
            <w:pPr>
              <w:pStyle w:val="Style19"/>
              <w:spacing w:lineRule="auto" w:line="240" w:before="0" w:after="0"/>
              <w:rPr>
                <w:szCs w:val="22"/>
              </w:rPr>
            </w:pPr>
            <w:r>
              <w:rPr>
                <w:szCs w:val="22"/>
              </w:rPr>
              <w:t>Промежуточные отчеты НИР по результатам оценки состояния компонентов окружающей природной среды</w:t>
            </w:r>
            <w:r>
              <w:rPr>
                <w:rStyle w:val="Style17"/>
                <w:sz w:val="22"/>
                <w:szCs w:val="22"/>
              </w:rPr>
              <w:t xml:space="preserve"> до начала поисково-оценочных работ и промышленной добычи или строительства объектов инфраструктуры и биогеохимических поисков.</w:t>
            </w:r>
            <w:r>
              <w:rPr>
                <w:szCs w:val="22"/>
              </w:rPr>
              <w:t xml:space="preserve"> </w:t>
            </w:r>
          </w:p>
          <w:p>
            <w:pPr>
              <w:pStyle w:val="Style19"/>
              <w:spacing w:lineRule="auto" w:line="240" w:before="0" w:after="0"/>
              <w:rPr/>
            </w:pPr>
            <w:r>
              <w:rPr>
                <w:szCs w:val="22"/>
              </w:rPr>
              <w:t>Окончательный отчет НИР по результатам оценки состояния компонентов окружающей природной среды.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14.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  <w:szCs w:val="24"/>
              </w:rPr>
              <w:t>Порядок апробации материалов: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Style19"/>
              <w:spacing w:lineRule="auto" w:line="240" w:before="0" w:after="0"/>
              <w:rPr/>
            </w:pPr>
            <w:r>
              <w:rPr>
                <w:shd w:fill="FFFFFF" w:val="clear"/>
              </w:rPr>
              <w:t>Отчетные материалы рассматриваются на заседании НТС Исполнителя и на заседании научно-технического совета ООО «РГХО».</w:t>
            </w:r>
            <w:r>
              <w:rPr/>
              <w:t xml:space="preserve"> 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15.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2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Порядок приемки отчетных материалов: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Style19"/>
              <w:spacing w:lineRule="auto" w:line="240" w:before="0" w:after="0"/>
              <w:rPr/>
            </w:pPr>
            <w:r>
              <w:rPr>
                <w:shd w:fill="FFFFFF" w:val="clear"/>
              </w:rPr>
              <w:t xml:space="preserve">Отчетные материалы принимаются при условии согласования </w:t>
            </w:r>
            <w:r>
              <w:rPr/>
              <w:t>программы ведения экологического мониторинга на</w:t>
            </w:r>
            <w:r>
              <w:rPr>
                <w:rStyle w:val="Style17"/>
              </w:rPr>
              <w:t xml:space="preserve"> площади лицензионного участка</w:t>
            </w:r>
            <w:r>
              <w:rPr/>
              <w:t xml:space="preserve"> Департаментом по недропользованию по Дальневосточному федеральному округу;</w:t>
            </w:r>
          </w:p>
          <w:p>
            <w:pPr>
              <w:pStyle w:val="Style19"/>
              <w:spacing w:lineRule="auto" w:line="240" w:before="0" w:after="0"/>
              <w:rPr>
                <w:highlight w:val="white"/>
              </w:rPr>
            </w:pPr>
            <w:r>
              <w:rPr>
                <w:shd w:fill="FFFFFF" w:val="clear"/>
              </w:rPr>
              <w:t>Отчетные материалы НИР принимаются заказчиком по результатам их рассмотрения на заседании научно-технического совета ООО «РГХО»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Сроки работ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Style19"/>
              <w:spacing w:lineRule="auto" w:line="240" w:before="0" w:after="0"/>
              <w:rPr>
                <w:highlight w:val="white"/>
              </w:rPr>
            </w:pPr>
            <w:r>
              <w:rPr>
                <w:shd w:fill="FFFFFF" w:val="clear"/>
              </w:rPr>
              <w:t>-начало – апрель 2020 г.;</w:t>
            </w:r>
          </w:p>
          <w:p>
            <w:pPr>
              <w:pStyle w:val="Style19"/>
              <w:spacing w:lineRule="auto" w:line="240" w:before="0" w:after="0"/>
              <w:rPr>
                <w:highlight w:val="white"/>
              </w:rPr>
            </w:pPr>
            <w:r>
              <w:rPr>
                <w:shd w:fill="FFFFFF" w:val="clear"/>
              </w:rPr>
              <w:t>-окончание – апрель 2021 г.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17.</w:t>
            </w:r>
          </w:p>
        </w:tc>
        <w:tc>
          <w:tcPr>
            <w:tcW w:w="2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Cs w:val="24"/>
              </w:rPr>
            </w:pPr>
            <w:r>
              <w:rPr>
                <w:b/>
                <w:szCs w:val="24"/>
              </w:rPr>
              <w:t>Рассылка (тиражирование) отчетных материалов:</w:t>
            </w:r>
          </w:p>
        </w:tc>
        <w:tc>
          <w:tcPr>
            <w:tcW w:w="7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shd w:fill="FFFFFF" w:val="clear"/>
              </w:rPr>
              <w:t>Отчетные материалы в аналоговом и электронном видах тиражируются в</w:t>
            </w:r>
          </w:p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shd w:fill="FFFFFF" w:val="clear"/>
              </w:rPr>
              <w:t xml:space="preserve"> </w:t>
            </w:r>
            <w:r>
              <w:rPr>
                <w:shd w:fill="FFFFFF" w:val="clear"/>
              </w:rPr>
              <w:t>3 экземплярах и представляются исполнителем работ: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hd w:fill="FFFFFF" w:val="clear"/>
              </w:rPr>
              <w:t xml:space="preserve">- </w:t>
            </w:r>
            <w:r>
              <w:rPr/>
              <w:t>ООО «РГХО» - 2 экз.,</w:t>
            </w:r>
          </w:p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/>
              <w:t>- исполнитель работ – 1 экз.</w:t>
            </w:r>
          </w:p>
        </w:tc>
      </w:tr>
    </w:tbl>
    <w:p>
      <w:pPr>
        <w:pStyle w:val="Style19"/>
        <w:tabs>
          <w:tab w:val="left" w:pos="5656" w:leader="none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pacing w:val="-9"/>
          <w:sz w:val="22"/>
          <w:szCs w:val="22"/>
        </w:rPr>
        <w:t xml:space="preserve"> </w:t>
      </w:r>
    </w:p>
    <w:p>
      <w:pPr>
        <w:pStyle w:val="Normal"/>
        <w:ind w:left="1068" w:firstLine="34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ab/>
        <w:tab/>
      </w:r>
    </w:p>
    <w:p>
      <w:pPr>
        <w:pStyle w:val="Normal"/>
        <w:jc w:val="center"/>
        <w:rPr>
          <w:rFonts w:eastAsia="Calibri"/>
          <w:b/>
          <w:b/>
          <w:szCs w:val="24"/>
        </w:rPr>
      </w:pPr>
      <w:r>
        <w:rPr>
          <w:rFonts w:eastAsia="Calibri"/>
          <w:b/>
          <w:szCs w:val="24"/>
        </w:rPr>
        <w:t>КАЛЕНДАРНЫЙ ПЛАН</w:t>
      </w:r>
    </w:p>
    <w:p>
      <w:pPr>
        <w:pStyle w:val="Normal"/>
        <w:jc w:val="center"/>
        <w:rPr>
          <w:rFonts w:eastAsia="Calibri"/>
          <w:b/>
          <w:b/>
          <w:szCs w:val="24"/>
        </w:rPr>
      </w:pPr>
      <w:r>
        <w:rPr>
          <w:rFonts w:eastAsia="Calibri"/>
          <w:b/>
          <w:szCs w:val="24"/>
        </w:rPr>
      </w:r>
    </w:p>
    <w:tbl>
      <w:tblPr>
        <w:tblW w:w="10031" w:type="dxa"/>
        <w:jc w:val="left"/>
        <w:tblInd w:w="0" w:type="dxa"/>
        <w:tblBorders/>
        <w:tblCellMar>
          <w:top w:w="0" w:type="dxa"/>
          <w:left w:w="11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031"/>
      </w:tblGrid>
      <w:tr>
        <w:trPr>
          <w:cantSplit w:val="true"/>
        </w:trPr>
        <w:tc>
          <w:tcPr>
            <w:tcW w:w="10031" w:type="dxa"/>
            <w:tcBorders/>
            <w:shd w:fill="auto" w:val="clear"/>
          </w:tcPr>
          <w:p>
            <w:pPr>
              <w:pStyle w:val="Style27"/>
              <w:ind w:hanging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eastAsia="Calibri" w:cs="Times New Roman" w:ascii="Times New Roman" w:hAnsi="Times New Roman"/>
                <w:szCs w:val="24"/>
              </w:rPr>
              <w:t xml:space="preserve">научно-исследовательской работы </w:t>
            </w:r>
            <w:r>
              <w:rPr>
                <w:rFonts w:cs="Times New Roman" w:ascii="Times New Roman" w:hAnsi="Times New Roman"/>
                <w:szCs w:val="24"/>
              </w:rPr>
              <w:t>«Определение фонового состояния окружающей природной среды в пределах Лицензионного участка на Савкинском</w:t>
            </w:r>
            <w:r>
              <w:rPr>
                <w:rStyle w:val="Style17"/>
                <w:szCs w:val="24"/>
              </w:rPr>
              <w:t xml:space="preserve"> месторождении брусита»</w:t>
            </w:r>
          </w:p>
        </w:tc>
      </w:tr>
    </w:tbl>
    <w:p>
      <w:pPr>
        <w:pStyle w:val="Normal"/>
        <w:jc w:val="center"/>
        <w:rPr>
          <w:szCs w:val="24"/>
        </w:rPr>
      </w:pPr>
      <w:r>
        <w:rPr>
          <w:szCs w:val="24"/>
        </w:rPr>
      </w:r>
    </w:p>
    <w:tbl>
      <w:tblPr>
        <w:tblW w:w="10871" w:type="dxa"/>
        <w:jc w:val="left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567"/>
        <w:gridCol w:w="3071"/>
        <w:gridCol w:w="2233"/>
      </w:tblGrid>
      <w:tr>
        <w:trPr>
          <w:trHeight w:val="90" w:hRule="atLeast"/>
        </w:trPr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Наименование работ по договору</w:t>
            </w:r>
          </w:p>
          <w:p>
            <w:pPr>
              <w:pStyle w:val="Normal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 основных этапов его выполнения</w:t>
            </w:r>
          </w:p>
        </w:tc>
        <w:tc>
          <w:tcPr>
            <w:tcW w:w="30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Срок выполнения</w:t>
            </w:r>
          </w:p>
          <w:p>
            <w:pPr>
              <w:pStyle w:val="Normal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начало-окончание</w:t>
            </w:r>
          </w:p>
          <w:p>
            <w:pPr>
              <w:pStyle w:val="Normal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(день, месяц, год)</w:t>
            </w:r>
          </w:p>
        </w:tc>
        <w:tc>
          <w:tcPr>
            <w:tcW w:w="22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Расчетная цена этапа</w:t>
            </w:r>
          </w:p>
          <w:p>
            <w:pPr>
              <w:pStyle w:val="Normal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руб. / % к договорной цене</w:t>
            </w:r>
          </w:p>
        </w:tc>
      </w:tr>
      <w:tr>
        <w:trPr>
          <w:trHeight w:val="90" w:hRule="atLeast"/>
        </w:trPr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360" w:hanging="360"/>
              <w:jc w:val="center"/>
              <w:rPr>
                <w:rStyle w:val="Style17"/>
                <w:sz w:val="22"/>
                <w:szCs w:val="22"/>
                <w:lang w:val="en-US"/>
              </w:rPr>
            </w:pPr>
            <w:r>
              <w:rPr>
                <w:rStyle w:val="Style17"/>
                <w:sz w:val="22"/>
                <w:szCs w:val="22"/>
              </w:rPr>
              <w:t>Этап</w:t>
            </w:r>
            <w:r>
              <w:rPr>
                <w:rStyle w:val="Style17"/>
                <w:sz w:val="22"/>
                <w:szCs w:val="22"/>
                <w:lang w:val="en-US"/>
              </w:rPr>
              <w:t xml:space="preserve"> I.</w:t>
            </w:r>
          </w:p>
        </w:tc>
        <w:tc>
          <w:tcPr>
            <w:tcW w:w="30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</w:r>
          </w:p>
        </w:tc>
        <w:tc>
          <w:tcPr>
            <w:tcW w:w="22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</w:r>
          </w:p>
        </w:tc>
      </w:tr>
      <w:tr>
        <w:trPr>
          <w:trHeight w:val="90" w:hRule="atLeast"/>
        </w:trPr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Программы оценки фонового состояния окружающей природной среды </w:t>
            </w:r>
            <w:r>
              <w:rPr>
                <w:rStyle w:val="Style17"/>
                <w:sz w:val="22"/>
                <w:szCs w:val="22"/>
              </w:rPr>
              <w:t>в пределах лицензионного участка</w:t>
            </w:r>
            <w:r>
              <w:rPr>
                <w:sz w:val="22"/>
                <w:szCs w:val="22"/>
              </w:rPr>
              <w:t>. Согласование программы работ с профильным комитетом правительства ЕАО и Департаментом по недропользованию по ДВФО. Гидрологические наблюдения. Отбор поверхностных и родниковых вод, их химический и бактериологический анализ, радиационно-гигиеническая оценка</w:t>
            </w:r>
          </w:p>
          <w:p>
            <w:pPr>
              <w:pStyle w:val="Normal"/>
              <w:jc w:val="both"/>
              <w:rPr>
                <w:rFonts w:eastAsia="Calibri"/>
                <w:szCs w:val="22"/>
              </w:rPr>
            </w:pPr>
            <w:r>
              <w:rPr>
                <w:sz w:val="22"/>
                <w:szCs w:val="22"/>
              </w:rPr>
              <w:t>Геоэкологическое исследование состояния окружающей среды с опробованием поверхностных вод, донных отложений, гумусового слоя почв и растительности. Камеральные работы, обобщение и интерпретация полученных данных, математическая обработка результатов анализов. Составление и утверждение промежуточного отчета о результатах изучения фонового состояния окружающей среды.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01.04.2020 г. –01.11.2020 г.</w:t>
            </w:r>
          </w:p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  <w:p>
            <w:pPr>
              <w:pStyle w:val="Normal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Этап </w:t>
            </w:r>
            <w:r>
              <w:rPr>
                <w:sz w:val="22"/>
                <w:szCs w:val="22"/>
                <w:lang w:val="en-US"/>
              </w:rPr>
              <w:t>II.</w:t>
            </w:r>
          </w:p>
        </w:tc>
        <w:tc>
          <w:tcPr>
            <w:tcW w:w="30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rStyle w:val="Style17"/>
              </w:rPr>
              <w:t xml:space="preserve">01.12.2020 г. </w:t>
            </w:r>
            <w:bookmarkStart w:id="0" w:name="_GoBack"/>
            <w:bookmarkEnd w:id="0"/>
            <w:r>
              <w:rPr>
                <w:rStyle w:val="Style17"/>
              </w:rPr>
              <w:t>– 15.01.2022 г</w:t>
            </w:r>
          </w:p>
        </w:tc>
        <w:tc>
          <w:tcPr>
            <w:tcW w:w="22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eastAsia="Calibri"/>
                <w:szCs w:val="22"/>
              </w:rPr>
            </w:pPr>
            <w:r>
              <w:rPr>
                <w:sz w:val="22"/>
                <w:szCs w:val="22"/>
              </w:rPr>
              <w:t>Гидрологические наблюдения, зимнее обследование рек и родников. Отбор поверхностных и родниковых вод, их химический и бактериологический анализ, радиационно-гигиеническая оценка. Изучение снежного покрова</w:t>
            </w:r>
            <w:r>
              <w:rPr>
                <w:rStyle w:val="Style17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Окончательная камеральная обработка результатов, обобщение и интерпретация полученных данных, математическая обработка результатов анализов. Составление и утверждение заключительно отчета о результатах изучения фонового состояния окружающей среды.</w:t>
            </w:r>
          </w:p>
        </w:tc>
        <w:tc>
          <w:tcPr>
            <w:tcW w:w="30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2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5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eastAsia="Calibri"/>
                <w:b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ИТОГО: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rFonts w:eastAsia="Calibri"/>
                <w:b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</w:r>
          </w:p>
        </w:tc>
      </w:tr>
    </w:tbl>
    <w:p>
      <w:pPr>
        <w:pStyle w:val="Normal"/>
        <w:ind w:firstLine="348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992" w:right="567" w:header="0" w:top="1134" w:footer="709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68566666"/>
    </w:sdtPr>
    <w:sdtContent>
      <w:p>
        <w:pPr>
          <w:pStyle w:val="Style26"/>
          <w:rPr>
            <w:b/>
            <w:b/>
          </w:rPr>
        </w:pPr>
        <w:r>
          <w:rPr>
            <w:b/>
          </w:rPr>
        </w:r>
      </w:p>
      <w:p>
        <w:pPr>
          <w:pStyle w:val="Style26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Style26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a32e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ru-RU" w:val="ru-RU" w:bidi="ar-SA"/>
    </w:rPr>
  </w:style>
  <w:style w:type="paragraph" w:styleId="1">
    <w:name w:val="Heading 1"/>
    <w:basedOn w:val="Normal"/>
    <w:link w:val="10"/>
    <w:qFormat/>
    <w:rsid w:val="001b1329"/>
    <w:pPr>
      <w:keepNext/>
      <w:jc w:val="center"/>
      <w:outlineLvl w:val="0"/>
    </w:pPr>
    <w:rPr>
      <w:b/>
    </w:rPr>
  </w:style>
  <w:style w:type="paragraph" w:styleId="2">
    <w:name w:val="Heading 2"/>
    <w:basedOn w:val="Normal"/>
    <w:link w:val="20"/>
    <w:uiPriority w:val="9"/>
    <w:semiHidden/>
    <w:unhideWhenUsed/>
    <w:qFormat/>
    <w:rsid w:val="005a09a6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b1329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1b1329"/>
    <w:rPr>
      <w:b/>
      <w:bCs/>
    </w:rPr>
  </w:style>
  <w:style w:type="character" w:styleId="Style12">
    <w:name w:val="Выделение"/>
    <w:basedOn w:val="DefaultParagraphFont"/>
    <w:uiPriority w:val="20"/>
    <w:qFormat/>
    <w:rsid w:val="001b1329"/>
    <w:rPr>
      <w:i/>
      <w:iCs/>
    </w:rPr>
  </w:style>
  <w:style w:type="character" w:styleId="Style13" w:customStyle="1">
    <w:name w:val="Основной текст с отступом Знак"/>
    <w:basedOn w:val="DefaultParagraphFont"/>
    <w:link w:val="a6"/>
    <w:semiHidden/>
    <w:qFormat/>
    <w:rsid w:val="000a32e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1" w:customStyle="1">
    <w:name w:val="Основной текст с отступом 2 Знак"/>
    <w:basedOn w:val="DefaultParagraphFont"/>
    <w:link w:val="21"/>
    <w:uiPriority w:val="99"/>
    <w:semiHidden/>
    <w:qFormat/>
    <w:rsid w:val="000a32e8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4" w:customStyle="1">
    <w:name w:val="Заголовок Знак"/>
    <w:basedOn w:val="DefaultParagraphFont"/>
    <w:link w:val="a8"/>
    <w:qFormat/>
    <w:rsid w:val="000a32e8"/>
    <w:rPr>
      <w:rFonts w:ascii="Times New Roman" w:hAnsi="Times New Roman" w:eastAsia="Times New Roman" w:cs="Times New Roman"/>
      <w:color w:val="000000"/>
      <w:spacing w:val="-15"/>
      <w:sz w:val="32"/>
      <w:szCs w:val="26"/>
      <w:shd w:fill="FFFFFF" w:val="clear"/>
      <w:lang w:eastAsia="ru-RU"/>
    </w:rPr>
  </w:style>
  <w:style w:type="character" w:styleId="Style15" w:customStyle="1">
    <w:name w:val="Верхний колонтитул Знак"/>
    <w:basedOn w:val="DefaultParagraphFont"/>
    <w:link w:val="ab"/>
    <w:uiPriority w:val="99"/>
    <w:qFormat/>
    <w:rsid w:val="007437d1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6" w:customStyle="1">
    <w:name w:val="Нижний колонтитул Знак"/>
    <w:basedOn w:val="DefaultParagraphFont"/>
    <w:link w:val="ad"/>
    <w:uiPriority w:val="99"/>
    <w:qFormat/>
    <w:rsid w:val="007437d1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7" w:customStyle="1">
    <w:name w:val="Основной текст Знак"/>
    <w:basedOn w:val="DefaultParagraphFont"/>
    <w:link w:val="af0"/>
    <w:qFormat/>
    <w:rsid w:val="00d3613c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2" w:customStyle="1">
    <w:name w:val="Заголовок 2 Знак"/>
    <w:basedOn w:val="DefaultParagraphFont"/>
    <w:link w:val="2"/>
    <w:uiPriority w:val="9"/>
    <w:semiHidden/>
    <w:qFormat/>
    <w:rsid w:val="005a09a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12" w:customStyle="1">
    <w:name w:val="Пункт Знак1"/>
    <w:link w:val="af3"/>
    <w:qFormat/>
    <w:locked/>
    <w:rsid w:val="00241ed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ourier New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f1"/>
    <w:uiPriority w:val="99"/>
    <w:unhideWhenUsed/>
    <w:rsid w:val="00d3613c"/>
    <w:pPr>
      <w:spacing w:before="0" w:after="12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1b132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2"/>
      <w:lang w:val="ru-RU" w:eastAsia="en-US" w:bidi="ar-SA"/>
    </w:rPr>
  </w:style>
  <w:style w:type="paragraph" w:styleId="Style23">
    <w:name w:val="Body Text Indent"/>
    <w:basedOn w:val="Normal"/>
    <w:link w:val="a7"/>
    <w:semiHidden/>
    <w:rsid w:val="000a32e8"/>
    <w:pPr>
      <w:ind w:firstLine="567"/>
      <w:jc w:val="both"/>
    </w:pPr>
    <w:rPr/>
  </w:style>
  <w:style w:type="paragraph" w:styleId="BodyTextIndent2">
    <w:name w:val="Body Text Indent 2"/>
    <w:basedOn w:val="Normal"/>
    <w:link w:val="22"/>
    <w:uiPriority w:val="99"/>
    <w:semiHidden/>
    <w:unhideWhenUsed/>
    <w:qFormat/>
    <w:rsid w:val="000a32e8"/>
    <w:pPr>
      <w:spacing w:lineRule="auto" w:line="480" w:before="0" w:after="120"/>
      <w:ind w:left="283" w:hanging="0"/>
    </w:pPr>
    <w:rPr/>
  </w:style>
  <w:style w:type="paragraph" w:styleId="Style24">
    <w:name w:val="Title"/>
    <w:basedOn w:val="Normal"/>
    <w:link w:val="a9"/>
    <w:qFormat/>
    <w:rsid w:val="000a32e8"/>
    <w:pPr>
      <w:shd w:val="clear" w:color="auto" w:fill="FFFFFF"/>
      <w:spacing w:lineRule="exact" w:line="274"/>
      <w:ind w:left="2520" w:right="2894" w:hanging="0"/>
      <w:jc w:val="center"/>
    </w:pPr>
    <w:rPr>
      <w:b/>
      <w:bCs/>
      <w:color w:val="000000"/>
      <w:spacing w:val="-15"/>
      <w:sz w:val="32"/>
      <w:szCs w:val="26"/>
    </w:rPr>
  </w:style>
  <w:style w:type="paragraph" w:styleId="ConsPlusNonformat" w:customStyle="1">
    <w:name w:val="ConsPlusNonformat"/>
    <w:qFormat/>
    <w:rsid w:val="000a32e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ConsNormal" w:customStyle="1">
    <w:name w:val="ConsNormal"/>
    <w:qFormat/>
    <w:rsid w:val="00db124e"/>
    <w:pPr>
      <w:widowControl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f922e2"/>
    <w:pPr>
      <w:spacing w:before="0" w:after="0"/>
      <w:ind w:left="720" w:hanging="0"/>
      <w:contextualSpacing/>
    </w:pPr>
    <w:rPr/>
  </w:style>
  <w:style w:type="paragraph" w:styleId="Style25">
    <w:name w:val="Header"/>
    <w:basedOn w:val="Normal"/>
    <w:link w:val="ac"/>
    <w:uiPriority w:val="99"/>
    <w:unhideWhenUsed/>
    <w:rsid w:val="007437d1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e"/>
    <w:uiPriority w:val="99"/>
    <w:unhideWhenUsed/>
    <w:rsid w:val="007437d1"/>
    <w:pPr>
      <w:tabs>
        <w:tab w:val="center" w:pos="4677" w:leader="none"/>
        <w:tab w:val="right" w:pos="9355" w:leader="none"/>
      </w:tabs>
    </w:pPr>
    <w:rPr/>
  </w:style>
  <w:style w:type="paragraph" w:styleId="Style27" w:customStyle="1">
    <w:name w:val="Геологическое задание"/>
    <w:basedOn w:val="Normal"/>
    <w:qFormat/>
    <w:rsid w:val="005a09a6"/>
    <w:pPr>
      <w:ind w:firstLine="709"/>
      <w:jc w:val="both"/>
    </w:pPr>
    <w:rPr>
      <w:rFonts w:ascii="Arial" w:hAnsi="Arial" w:cs="Arial"/>
      <w:bCs/>
      <w:iCs/>
    </w:rPr>
  </w:style>
  <w:style w:type="paragraph" w:styleId="Style28" w:customStyle="1">
    <w:name w:val="Пункт"/>
    <w:basedOn w:val="Normal"/>
    <w:link w:val="11"/>
    <w:qFormat/>
    <w:rsid w:val="00241ed9"/>
    <w:pPr>
      <w:spacing w:lineRule="auto" w:line="360"/>
      <w:jc w:val="both"/>
    </w:pPr>
    <w:rPr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823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D774B-3C68-4DCD-9B2F-DBA6AC23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LibreOffice/5.1.6.2$Linux_X86_64 LibreOffice_project/10m0$Build-2</Application>
  <Pages>4</Pages>
  <Words>1174</Words>
  <Characters>8629</Characters>
  <CharactersWithSpaces>9670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2020-02-17T11:25:00Z</dcterms:created>
  <dc:creator>Люба</dc:creator>
  <dc:description/>
  <dc:language>ru-RU</dc:language>
  <cp:lastModifiedBy/>
  <cp:lastPrinted>2018-09-05T23:29:00Z</cp:lastPrinted>
  <dcterms:modified xsi:type="dcterms:W3CDTF">2020-03-11T15:31:23Z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