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4A0" w:firstRow="1" w:lastRow="0" w:firstColumn="1" w:lastColumn="0" w:noHBand="0" w:noVBand="1"/>
      </w:tblPr>
      <w:tblGrid>
        <w:gridCol w:w="706"/>
        <w:gridCol w:w="7181"/>
        <w:gridCol w:w="2178"/>
      </w:tblGrid>
      <w:tr w:rsidR="00EA4622" w:rsidTr="00EA4622">
        <w:trPr>
          <w:trHeight w:val="4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Параметры \ наименование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Номинальная мощность, кВт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</w:pPr>
            <w:r>
              <w:rPr>
                <w:sz w:val="20"/>
                <w:szCs w:val="20"/>
              </w:rPr>
              <w:t>Максимальная мощность, кВт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не менее 55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Род тока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переменный трехфазный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400/230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Номинальная частота, </w:t>
            </w:r>
            <w:proofErr w:type="gramStart"/>
            <w:r>
              <w:rPr>
                <w:color w:val="000000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Двигатель дизельный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четырехтактный</w:t>
            </w:r>
          </w:p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 xml:space="preserve">4-х цилиндровый, рядный, с </w:t>
            </w:r>
            <w:proofErr w:type="spellStart"/>
            <w:r>
              <w:rPr>
                <w:color w:val="000000"/>
                <w:sz w:val="20"/>
                <w:szCs w:val="20"/>
              </w:rPr>
              <w:t>турбонаддувом</w:t>
            </w:r>
            <w:proofErr w:type="spellEnd"/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Рабочий объем двигателя,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4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Система охлаждения двигателя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жидкостная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Диаметр цилиндра,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105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Ход поршня,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120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Степень сжатия в </w:t>
            </w:r>
            <w:proofErr w:type="gramStart"/>
            <w:r>
              <w:rPr>
                <w:color w:val="000000"/>
                <w:sz w:val="20"/>
                <w:szCs w:val="20"/>
              </w:rPr>
              <w:t>цилиндрах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18:1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Объем системы охлаждения,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более 20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Генератор синхронный одноопорный бесщеточный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  <w:shd w:val="clear" w:color="auto" w:fill="F7F8FA"/>
              </w:rPr>
              <w:t>Обмотки генератора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12 проводов, «шаг не менее 2/3», схема соединения – «звезда»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Класс изоляции генератора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>Степень защиты генератора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color w:val="000000"/>
                <w:sz w:val="20"/>
                <w:szCs w:val="20"/>
                <w:lang w:val="en-US"/>
              </w:rPr>
              <w:t>IP23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Номинальный коэффициент мощности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0,8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sz w:val="20"/>
                <w:szCs w:val="20"/>
              </w:rPr>
              <w:t>Номинальный ток (при номинальном коэффициенте мощности), 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не менее 90</w:t>
            </w:r>
          </w:p>
        </w:tc>
      </w:tr>
      <w:tr w:rsidR="00EA4622" w:rsidTr="00EA4622">
        <w:trPr>
          <w:trHeight w:val="15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spacing w:line="150" w:lineRule="atLeast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spacing w:line="150" w:lineRule="atLeast"/>
            </w:pPr>
            <w:r>
              <w:rPr>
                <w:color w:val="000000"/>
                <w:sz w:val="20"/>
                <w:szCs w:val="20"/>
              </w:rPr>
              <w:t xml:space="preserve">Номинальная частота вращения вала двигателя, </w:t>
            </w: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spacing w:line="15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 менее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1500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Емкость топливного бака,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190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Расход мощности при 100% нагрузке,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более 13,5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color w:val="000000"/>
                <w:sz w:val="20"/>
                <w:szCs w:val="20"/>
              </w:rPr>
              <w:t xml:space="preserve">Расход мощности при 75% нагрузке,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более 10,5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>Степень автоматизации согласно ГОСТ 33105-2014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>Тип запуска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ручной и автоматический (АВР)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proofErr w:type="spellStart"/>
            <w:r>
              <w:rPr>
                <w:sz w:val="20"/>
                <w:szCs w:val="20"/>
              </w:rPr>
              <w:t>Электроподогреватель</w:t>
            </w:r>
            <w:proofErr w:type="spellEnd"/>
            <w:r>
              <w:rPr>
                <w:sz w:val="20"/>
                <w:szCs w:val="20"/>
              </w:rPr>
              <w:t xml:space="preserve"> охлаждающей жидкости типа СЕВЕРС или аналог, шт.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sz w:val="20"/>
                <w:szCs w:val="20"/>
              </w:rPr>
              <w:t>Устройство автоматической подзарядки аккумуляторных батарей типа SMPS или аналог, шт.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>Механический регулятор оборотов двигателя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>Промышленный глушитель, шт.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>Язык интерфейса контроллера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sz w:val="20"/>
                <w:szCs w:val="20"/>
              </w:rPr>
              <w:t>Системы пуска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электростартерная</w:t>
            </w:r>
            <w:proofErr w:type="spellEnd"/>
            <w:r>
              <w:rPr>
                <w:sz w:val="20"/>
                <w:szCs w:val="20"/>
              </w:rPr>
              <w:t>, не менее 24В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sz w:val="20"/>
                <w:szCs w:val="20"/>
              </w:rPr>
              <w:t>Аккумуляторные батареи, шт.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не менее 1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</w:pPr>
            <w:r>
              <w:rPr>
                <w:sz w:val="20"/>
                <w:szCs w:val="20"/>
              </w:rPr>
              <w:t xml:space="preserve">Год выпуска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sz w:val="20"/>
                <w:szCs w:val="20"/>
              </w:rPr>
              <w:t>не ранее 2019 года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 xml:space="preserve">Габаритные размеры,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более 1900*700*1400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color w:val="000000"/>
                <w:sz w:val="20"/>
                <w:szCs w:val="20"/>
              </w:rPr>
              <w:t xml:space="preserve">Вес, </w:t>
            </w:r>
            <w:proofErr w:type="gramStart"/>
            <w:r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22" w:rsidRDefault="00EA4622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>не более 900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ind w:right="-75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b/>
                <w:bCs/>
                <w:sz w:val="20"/>
                <w:szCs w:val="20"/>
              </w:rPr>
              <w:t xml:space="preserve">Перечень необходимых документов: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t> 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ind w:right="-75"/>
              <w:jc w:val="center"/>
            </w:pPr>
            <w: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 xml:space="preserve">паспорт на дизель генераторную установку на </w:t>
            </w:r>
            <w:proofErr w:type="gramStart"/>
            <w:r>
              <w:rPr>
                <w:rFonts w:ascii="Tms Rmn" w:hAnsi="Tms Rmn"/>
                <w:sz w:val="20"/>
                <w:szCs w:val="20"/>
              </w:rPr>
              <w:t>русском</w:t>
            </w:r>
            <w:proofErr w:type="gramEnd"/>
            <w:r>
              <w:rPr>
                <w:rFonts w:ascii="Tms Rmn" w:hAnsi="Tms Rmn"/>
                <w:sz w:val="20"/>
                <w:szCs w:val="20"/>
              </w:rPr>
              <w:t xml:space="preserve"> языке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Наличие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ind w:right="-75"/>
              <w:jc w:val="center"/>
            </w:pPr>
            <w: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гарантийный талон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Наличие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ind w:right="-75"/>
              <w:jc w:val="center"/>
            </w:pPr>
            <w: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протокол испытаний агрегата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Наличие</w:t>
            </w:r>
          </w:p>
        </w:tc>
      </w:tr>
      <w:tr w:rsidR="00EA4622" w:rsidTr="00EA4622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ind w:right="-75"/>
              <w:jc w:val="center"/>
            </w:pPr>
            <w: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4622" w:rsidRDefault="00EA4622">
            <w:pPr>
              <w:pStyle w:val="a3"/>
              <w:jc w:val="both"/>
            </w:pPr>
            <w:r>
              <w:rPr>
                <w:rFonts w:ascii="Tms Rmn" w:hAnsi="Tms Rmn"/>
                <w:sz w:val="20"/>
                <w:szCs w:val="20"/>
              </w:rPr>
              <w:t>Наличие</w:t>
            </w:r>
          </w:p>
        </w:tc>
      </w:tr>
    </w:tbl>
    <w:p w:rsidR="00EA4622" w:rsidRDefault="00EA4622" w:rsidP="00EA4622">
      <w:pPr>
        <w:pStyle w:val="a3"/>
      </w:pPr>
      <w:r>
        <w:t> </w:t>
      </w:r>
    </w:p>
    <w:p w:rsidR="00EA4622" w:rsidRDefault="00EA4622" w:rsidP="00EA4622">
      <w:pPr>
        <w:pStyle w:val="a3"/>
        <w:jc w:val="both"/>
      </w:pPr>
      <w:r>
        <w:rPr>
          <w:rFonts w:ascii="Tms Rmn" w:hAnsi="Tms Rmn"/>
          <w:b/>
          <w:bCs/>
          <w:sz w:val="20"/>
          <w:szCs w:val="20"/>
        </w:rPr>
        <w:t>Гарантийный срок</w:t>
      </w:r>
      <w:r>
        <w:rPr>
          <w:rFonts w:ascii="Tms Rmn" w:hAnsi="Tms Rmn"/>
          <w:sz w:val="20"/>
          <w:szCs w:val="20"/>
        </w:rPr>
        <w:t xml:space="preserve">: </w:t>
      </w:r>
      <w:r>
        <w:rPr>
          <w:sz w:val="20"/>
          <w:szCs w:val="20"/>
        </w:rPr>
        <w:t xml:space="preserve">не менее 12 месяцев </w:t>
      </w:r>
      <w:proofErr w:type="gramStart"/>
      <w:r>
        <w:rPr>
          <w:sz w:val="20"/>
          <w:szCs w:val="20"/>
        </w:rPr>
        <w:t>с даты отгрузки</w:t>
      </w:r>
      <w:proofErr w:type="gramEnd"/>
      <w:r>
        <w:rPr>
          <w:sz w:val="20"/>
          <w:szCs w:val="20"/>
        </w:rPr>
        <w:t xml:space="preserve">, либо не менее 1000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>, в зависимости от того, что наступит ранее.</w:t>
      </w:r>
    </w:p>
    <w:p w:rsidR="00DA64A0" w:rsidRDefault="00DA64A0">
      <w:bookmarkStart w:id="0" w:name="_GoBack"/>
      <w:bookmarkEnd w:id="0"/>
    </w:p>
    <w:sectPr w:rsidR="00DA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0A"/>
    <w:rsid w:val="00DA64A0"/>
    <w:rsid w:val="00DB170A"/>
    <w:rsid w:val="00E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6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АБАК-ПРЕСС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2020-04-24T06:21:00Z</dcterms:created>
  <dcterms:modified xsi:type="dcterms:W3CDTF">2020-04-24T06:21:00Z</dcterms:modified>
</cp:coreProperties>
</file>