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jc w:val="center"/>
        <w:rPr/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3"/>
        </w:rPr>
        <w:t>Тройник неравнопроходной монолитный ПЭ100 SDR11 Ø710/280</w:t>
        <w:tab/>
        <w:t>ТУ 2248-001-50049230-2007</w:t>
        <w:tab/>
        <w:t>шт.</w:t>
        <w:tab/>
        <w:t>1</w:t>
      </w:r>
    </w:p>
    <w:p>
      <w:pPr>
        <w:pStyle w:val="Normal"/>
        <w:spacing w:before="0" w:after="0"/>
        <w:jc w:val="center"/>
        <w:rPr/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3"/>
        </w:rPr>
        <w:t>Тройник неравнопроходной монолитный ПЭ100 SDR11 Ø710/225</w:t>
        <w:tab/>
        <w:t>ТУ 2248-001-50049230-2007</w:t>
        <w:tab/>
        <w:t>шт.</w:t>
        <w:tab/>
        <w:t>7</w:t>
      </w:r>
    </w:p>
    <w:p>
      <w:pPr>
        <w:pStyle w:val="Normal"/>
        <w:spacing w:before="0" w:after="0"/>
        <w:jc w:val="center"/>
        <w:rPr/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3"/>
        </w:rPr>
        <w:t>Тройник неравнопроходной монолитный ПЭ100 SDR11 Ø710/160</w:t>
        <w:tab/>
        <w:t>ТУ 2248-001-50049230-2007</w:t>
        <w:tab/>
        <w:t>шт.</w:t>
        <w:tab/>
        <w:t>6</w:t>
      </w:r>
    </w:p>
    <w:p>
      <w:pPr>
        <w:pStyle w:val="Normal"/>
        <w:spacing w:before="0" w:after="0"/>
        <w:jc w:val="center"/>
        <w:rPr/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3"/>
        </w:rPr>
        <w:t>Тройник неравнопроходной монолитный ПЭ100 SDR11 Ø710/110</w:t>
        <w:tab/>
        <w:t>ТУ 2248-001-50049230-2007</w:t>
        <w:tab/>
        <w:t>шт.</w:t>
        <w:tab/>
        <w:t>8</w:t>
      </w:r>
    </w:p>
    <w:p>
      <w:pPr>
        <w:pStyle w:val="Normal"/>
        <w:spacing w:before="0" w:after="0"/>
        <w:jc w:val="center"/>
        <w:rPr/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3"/>
        </w:rPr>
        <w:t>Тройник неравнопроходной монолитный ПЭ100 SDR11 Ø630/315</w:t>
        <w:tab/>
        <w:t>ТУ 2248-001-50049230-2007</w:t>
        <w:tab/>
        <w:t>шт.</w:t>
        <w:tab/>
        <w:t>3</w:t>
      </w:r>
    </w:p>
    <w:p>
      <w:pPr>
        <w:pStyle w:val="Normal"/>
        <w:spacing w:before="0" w:after="0"/>
        <w:jc w:val="center"/>
        <w:rPr/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3"/>
        </w:rPr>
        <w:t>Тройник неравнопроходной монолитный ПЭ100 SDR11 Ø630/280</w:t>
        <w:tab/>
        <w:t>ТУ 2248-001-50049230-2007</w:t>
        <w:tab/>
        <w:t>шт.</w:t>
        <w:tab/>
        <w:t>3</w:t>
      </w:r>
    </w:p>
    <w:p>
      <w:pPr>
        <w:pStyle w:val="Normal"/>
        <w:spacing w:before="0" w:after="0"/>
        <w:jc w:val="center"/>
        <w:rPr/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3"/>
        </w:rPr>
        <w:t>Тройник неравнопроходной монолитный ПЭ100 SDR11 Ø630/225</w:t>
        <w:tab/>
        <w:t>ТУ 2248-001-50049230-2007</w:t>
        <w:tab/>
        <w:t>шт.</w:t>
        <w:tab/>
        <w:t>12</w:t>
      </w:r>
    </w:p>
    <w:p>
      <w:pPr>
        <w:pStyle w:val="Normal"/>
        <w:spacing w:before="0" w:after="0"/>
        <w:jc w:val="center"/>
        <w:rPr/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3"/>
        </w:rPr>
        <w:t>Тройник неравнопроходной монолитный ПЭ100 SDR11 Ø630/160</w:t>
        <w:tab/>
        <w:t>ТУ 2248-001-50049230-2007</w:t>
        <w:tab/>
        <w:t>шт.</w:t>
        <w:tab/>
        <w:t>35</w:t>
      </w:r>
    </w:p>
    <w:p>
      <w:pPr>
        <w:pStyle w:val="Normal"/>
        <w:spacing w:before="0" w:after="0"/>
        <w:jc w:val="center"/>
        <w:rPr/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3"/>
        </w:rPr>
        <w:t>Тройник неравнопроходной монолитный ПЭ100 SDR11 Ø630/110</w:t>
        <w:tab/>
        <w:t>ТУ 2248-001-50049230-2007</w:t>
        <w:tab/>
        <w:t>шт.</w:t>
        <w:tab/>
        <w:t>22</w:t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Cambri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altName w:val="sans-serif"/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defaultTabStop w:val="708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e860cc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Normal"/>
    <w:link w:val="10"/>
    <w:uiPriority w:val="9"/>
    <w:qFormat/>
    <w:rsid w:val="00774385"/>
    <w:pPr>
      <w:keepNext w:val="true"/>
      <w:keepLines/>
      <w:spacing w:lineRule="auto" w:line="240" w:before="480" w:after="0"/>
      <w:jc w:val="both"/>
      <w:outlineLvl w:val="0"/>
    </w:pPr>
    <w:rPr>
      <w:rFonts w:ascii="Cambria" w:hAnsi="Cambria" w:eastAsia="" w:cs="" w:asciiTheme="majorHAnsi" w:cstheme="majorBidi" w:eastAsiaTheme="majorEastAsia" w:hAnsiTheme="majorHAnsi"/>
      <w:b/>
      <w:bCs/>
      <w:color w:val="365F91" w:themeColor="accent1" w:themeShade="bf"/>
      <w:sz w:val="28"/>
      <w:szCs w:val="28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link w:val="1"/>
    <w:uiPriority w:val="9"/>
    <w:qFormat/>
    <w:rsid w:val="00774385"/>
    <w:rPr>
      <w:rFonts w:ascii="Cambria" w:hAnsi="Cambria" w:eastAsia="" w:cs="" w:asciiTheme="majorHAnsi" w:cstheme="majorBidi" w:eastAsiaTheme="majorEastAsia" w:hAnsiTheme="majorHAnsi"/>
      <w:b/>
      <w:bCs/>
      <w:color w:val="365F91" w:themeColor="accent1" w:themeShade="bf"/>
      <w:sz w:val="28"/>
      <w:szCs w:val="28"/>
      <w:lang w:eastAsia="ru-RU"/>
    </w:rPr>
  </w:style>
  <w:style w:type="character" w:styleId="ListLabel1">
    <w:name w:val="ListLabel 1"/>
    <w:qFormat/>
    <w:rPr>
      <w:sz w:val="20"/>
    </w:rPr>
  </w:style>
  <w:style w:type="character" w:styleId="ListLabel2">
    <w:name w:val="ListLabel 2"/>
    <w:qFormat/>
    <w:rPr>
      <w:sz w:val="20"/>
    </w:rPr>
  </w:style>
  <w:style w:type="character" w:styleId="ListLabel3">
    <w:name w:val="ListLabel 3"/>
    <w:qFormat/>
    <w:rPr>
      <w:sz w:val="20"/>
    </w:rPr>
  </w:style>
  <w:style w:type="character" w:styleId="ListLabel4">
    <w:name w:val="ListLabel 4"/>
    <w:qFormat/>
    <w:rPr>
      <w:sz w:val="20"/>
    </w:rPr>
  </w:style>
  <w:style w:type="character" w:styleId="ListLabel5">
    <w:name w:val="ListLabel 5"/>
    <w:qFormat/>
    <w:rPr>
      <w:sz w:val="20"/>
    </w:rPr>
  </w:style>
  <w:style w:type="character" w:styleId="ListLabel6">
    <w:name w:val="ListLabel 6"/>
    <w:qFormat/>
    <w:rPr>
      <w:sz w:val="20"/>
    </w:rPr>
  </w:style>
  <w:style w:type="character" w:styleId="ListLabel7">
    <w:name w:val="ListLabel 7"/>
    <w:qFormat/>
    <w:rPr>
      <w:sz w:val="20"/>
    </w:rPr>
  </w:style>
  <w:style w:type="character" w:styleId="ListLabel8">
    <w:name w:val="ListLabel 8"/>
    <w:qFormat/>
    <w:rPr>
      <w:sz w:val="20"/>
    </w:rPr>
  </w:style>
  <w:style w:type="character" w:styleId="ListLabel9">
    <w:name w:val="ListLabel 9"/>
    <w:qFormat/>
    <w:rPr>
      <w:sz w:val="20"/>
    </w:rPr>
  </w:style>
  <w:style w:type="paragraph" w:styleId="Style13">
    <w:name w:val="Заголовок"/>
    <w:basedOn w:val="Normal"/>
    <w:next w:val="Style14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Style14">
    <w:name w:val="Body Text"/>
    <w:basedOn w:val="Normal"/>
    <w:pPr>
      <w:spacing w:lineRule="auto" w:line="276" w:before="0" w:after="140"/>
    </w:pPr>
    <w:rPr/>
  </w:style>
  <w:style w:type="paragraph" w:styleId="Style15">
    <w:name w:val="List"/>
    <w:basedOn w:val="Style14"/>
    <w:pPr/>
    <w:rPr>
      <w:rFonts w:cs="Lohit Devanagari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Lohit Devanagari"/>
    </w:rPr>
  </w:style>
  <w:style w:type="paragraph" w:styleId="ListParagraph">
    <w:name w:val="List Paragraph"/>
    <w:basedOn w:val="Normal"/>
    <w:uiPriority w:val="34"/>
    <w:qFormat/>
    <w:rsid w:val="003724a1"/>
    <w:pPr>
      <w:spacing w:before="0" w:after="200"/>
      <w:ind w:left="720" w:hanging="0"/>
      <w:contextualSpacing/>
    </w:pPr>
    <w:rPr/>
  </w:style>
  <w:style w:type="paragraph" w:styleId="Style18">
    <w:name w:val="Содержимое таблицы"/>
    <w:basedOn w:val="Normal"/>
    <w:qFormat/>
    <w:pPr>
      <w:suppressLineNumbers/>
    </w:pPr>
    <w:rPr/>
  </w:style>
  <w:style w:type="paragraph" w:styleId="Style19">
    <w:name w:val="Заголовок таблицы"/>
    <w:basedOn w:val="Style18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9238b3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Application>LibreOffice/6.0.7.3$Linux_X86_64 LibreOffice_project/00m0$Build-3</Application>
  <Pages>1</Pages>
  <Words>90</Words>
  <Characters>714</Characters>
  <CharactersWithSpaces>795</CharactersWithSpaces>
  <Paragraphs>9</Paragraphs>
  <Company>СГТУ имени Гагарина Ю.А.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2020-07-08T05:14:00Z</dcterms:created>
  <dc:creator>Филимонова Ирина Сергеевна</dc:creator>
  <dc:description/>
  <dc:language>ru-RU</dc:language>
  <cp:lastModifiedBy/>
  <cp:lastPrinted>2019-04-10T06:00:00Z</cp:lastPrinted>
  <dcterms:modified xsi:type="dcterms:W3CDTF">2020-08-24T12:21:29Z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СГТУ имени Гагарина Ю.А.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