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ind w:left="0" w:hanging="0"/>
        <w:jc w:val="both"/>
        <w:rPr>
          <w:b/>
          <w:b/>
          <w:sz w:val="30"/>
          <w:szCs w:val="30"/>
        </w:rPr>
      </w:pPr>
      <w:bookmarkStart w:id="0" w:name="_heading=h.gjdgxs"/>
      <w:bookmarkEnd w:id="0"/>
      <w:r>
        <w:rPr>
          <w:b/>
          <w:sz w:val="30"/>
          <w:szCs w:val="30"/>
        </w:rPr>
        <w:t>Крупы</w:t>
      </w:r>
    </w:p>
    <w:p>
      <w:pPr>
        <w:pStyle w:val="Normal"/>
        <w:widowControl w:val="false"/>
        <w:ind w:left="0" w:hanging="0"/>
        <w:jc w:val="both"/>
        <w:rPr>
          <w:b/>
          <w:b/>
          <w:sz w:val="22"/>
          <w:szCs w:val="22"/>
        </w:rPr>
      </w:pPr>
      <w:r>
        <w:rPr>
          <w:b/>
          <w:sz w:val="22"/>
          <w:szCs w:val="22"/>
        </w:rPr>
      </w:r>
      <w:bookmarkStart w:id="1" w:name="_heading=h.hah9ezalbtx"/>
      <w:bookmarkStart w:id="2" w:name="_heading=h.hah9ezalbtx"/>
      <w:bookmarkEnd w:id="2"/>
    </w:p>
    <w:p>
      <w:pPr>
        <w:pStyle w:val="Normal"/>
        <w:widowControl w:val="false"/>
        <w:ind w:left="0" w:hanging="0"/>
        <w:jc w:val="both"/>
        <w:rPr/>
      </w:pPr>
      <w:bookmarkStart w:id="3" w:name="_heading=h.prtnzr8eo6wq"/>
      <w:bookmarkEnd w:id="3"/>
      <w:r>
        <w:rPr>
          <w:b/>
          <w:sz w:val="22"/>
          <w:szCs w:val="22"/>
        </w:rPr>
        <w:t>Условия поставки:</w:t>
      </w:r>
      <w:r>
        <w:rPr>
          <w:sz w:val="22"/>
          <w:szCs w:val="22"/>
        </w:rPr>
        <w:t xml:space="preserve">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r>
        <w:rPr/>
        <w:t xml:space="preserve"> </w:t>
      </w:r>
    </w:p>
    <w:p>
      <w:pPr>
        <w:pStyle w:val="Normal"/>
        <w:widowControl w:val="false"/>
        <w:ind w:left="0" w:hanging="0"/>
        <w:jc w:val="both"/>
        <w:rPr/>
      </w:pPr>
      <w:r>
        <w:rPr/>
      </w:r>
      <w:bookmarkStart w:id="4" w:name="_heading=h.y4ug0rgtzb45"/>
      <w:bookmarkStart w:id="5" w:name="_heading=h.y4ug0rgtzb45"/>
      <w:bookmarkEnd w:id="5"/>
    </w:p>
    <w:p>
      <w:pPr>
        <w:pStyle w:val="Normal"/>
        <w:widowControl w:val="false"/>
        <w:rPr/>
      </w:pPr>
      <w:r>
        <w:rPr/>
      </w:r>
    </w:p>
    <w:tbl>
      <w:tblPr>
        <w:tblStyle w:val="Table1"/>
        <w:tblW w:w="14928" w:type="dxa"/>
        <w:jc w:val="left"/>
        <w:tblInd w:w="93" w:type="dxa"/>
        <w:tblLayout w:type="fixed"/>
        <w:tblCellMar>
          <w:top w:w="0" w:type="dxa"/>
          <w:left w:w="108" w:type="dxa"/>
          <w:bottom w:w="0" w:type="dxa"/>
          <w:right w:w="108" w:type="dxa"/>
        </w:tblCellMar>
        <w:tblLook w:val="0000"/>
      </w:tblPr>
      <w:tblGrid>
        <w:gridCol w:w="853"/>
        <w:gridCol w:w="1147"/>
        <w:gridCol w:w="7653"/>
        <w:gridCol w:w="1702"/>
        <w:gridCol w:w="708"/>
        <w:gridCol w:w="994"/>
        <w:gridCol w:w="993"/>
        <w:gridCol w:w="876"/>
      </w:tblGrid>
      <w:tr>
        <w:trPr>
          <w:trHeight w:val="525" w:hRule="atLeast"/>
        </w:trPr>
        <w:tc>
          <w:tcPr>
            <w:tcW w:w="853" w:type="dxa"/>
            <w:vMerge w:val="restart"/>
            <w:tcBorders>
              <w:top w:val="single" w:sz="4" w:space="0" w:color="000000"/>
              <w:left w:val="single" w:sz="4" w:space="0" w:color="000000"/>
              <w:right w:val="single" w:sz="4" w:space="0" w:color="000000"/>
            </w:tcBorders>
            <w:shd w:fill="auto" w:val="clear"/>
            <w:vAlign w:val="center"/>
          </w:tcPr>
          <w:p>
            <w:pPr>
              <w:pStyle w:val="Normal"/>
              <w:widowControl w:val="false"/>
              <w:rPr>
                <w:shd w:fill="auto" w:val="clear"/>
              </w:rPr>
            </w:pPr>
            <w:r>
              <w:rPr>
                <w:shd w:fill="auto" w:val="clear"/>
              </w:rPr>
              <w:t xml:space="preserve">№ </w:t>
            </w:r>
            <w:r>
              <w:rPr>
                <w:shd w:fill="auto" w:val="clear"/>
              </w:rPr>
              <w:t>п/п</w:t>
            </w:r>
          </w:p>
        </w:tc>
        <w:tc>
          <w:tcPr>
            <w:tcW w:w="1147" w:type="dxa"/>
            <w:vMerge w:val="restart"/>
            <w:tcBorders>
              <w:top w:val="single" w:sz="4" w:space="0" w:color="000000"/>
              <w:right w:val="single" w:sz="4" w:space="0" w:color="000000"/>
            </w:tcBorders>
            <w:shd w:fill="auto" w:val="clear"/>
            <w:vAlign w:val="center"/>
          </w:tcPr>
          <w:p>
            <w:pPr>
              <w:pStyle w:val="Normal"/>
              <w:widowControl w:val="false"/>
              <w:rPr>
                <w:shd w:fill="auto" w:val="clear"/>
              </w:rPr>
            </w:pPr>
            <w:r>
              <w:rPr>
                <w:shd w:fill="auto" w:val="clear"/>
              </w:rPr>
              <w:t>Наименование продукции</w:t>
            </w:r>
          </w:p>
        </w:tc>
        <w:tc>
          <w:tcPr>
            <w:tcW w:w="7653" w:type="dxa"/>
            <w:tcBorders>
              <w:top w:val="single" w:sz="4" w:space="0" w:color="000000"/>
              <w:bottom w:val="single" w:sz="4" w:space="0" w:color="000000"/>
              <w:right w:val="single" w:sz="4" w:space="0" w:color="000000"/>
            </w:tcBorders>
            <w:shd w:fill="auto" w:val="clear"/>
            <w:vAlign w:val="center"/>
          </w:tcPr>
          <w:p>
            <w:pPr>
              <w:pStyle w:val="Normal"/>
              <w:widowControl w:val="false"/>
              <w:rPr>
                <w:shd w:fill="auto" w:val="clear"/>
              </w:rPr>
            </w:pPr>
            <w:r>
              <w:rPr>
                <w:shd w:fill="auto" w:val="clear"/>
              </w:rPr>
              <w:t>Функциональные, технические и качественные характеристики, эксплуатационные характеристики объекта закупки</w:t>
            </w:r>
          </w:p>
        </w:tc>
        <w:tc>
          <w:tcPr>
            <w:tcW w:w="1702" w:type="dxa"/>
            <w:vMerge w:val="restart"/>
            <w:tcBorders>
              <w:top w:val="single" w:sz="4" w:space="0" w:color="000000"/>
              <w:right w:val="single" w:sz="4" w:space="0" w:color="000000"/>
            </w:tcBorders>
            <w:shd w:fill="auto" w:val="clear"/>
            <w:vAlign w:val="center"/>
          </w:tcPr>
          <w:p>
            <w:pPr>
              <w:pStyle w:val="Normal"/>
              <w:widowControl w:val="false"/>
              <w:jc w:val="center"/>
              <w:rPr>
                <w:shd w:fill="auto" w:val="clear"/>
              </w:rPr>
            </w:pPr>
            <w:r>
              <w:rPr>
                <w:shd w:fill="auto" w:val="clear"/>
              </w:rPr>
              <w:t xml:space="preserve">Код продукции по ОКПД2 </w:t>
            </w:r>
          </w:p>
        </w:tc>
        <w:tc>
          <w:tcPr>
            <w:tcW w:w="708" w:type="dxa"/>
            <w:vMerge w:val="restart"/>
            <w:tcBorders>
              <w:top w:val="single" w:sz="4" w:space="0" w:color="000000"/>
              <w:right w:val="single" w:sz="4" w:space="0" w:color="000000"/>
            </w:tcBorders>
            <w:shd w:fill="auto" w:val="clear"/>
            <w:vAlign w:val="center"/>
          </w:tcPr>
          <w:p>
            <w:pPr>
              <w:pStyle w:val="Normal"/>
              <w:widowControl w:val="false"/>
              <w:jc w:val="center"/>
              <w:rPr>
                <w:shd w:fill="auto" w:val="clear"/>
              </w:rPr>
            </w:pPr>
            <w:r>
              <w:rPr>
                <w:shd w:fill="auto" w:val="clear"/>
              </w:rPr>
              <w:t>Ед. изм.</w:t>
            </w:r>
          </w:p>
        </w:tc>
        <w:tc>
          <w:tcPr>
            <w:tcW w:w="994" w:type="dxa"/>
            <w:vMerge w:val="restart"/>
            <w:tcBorders>
              <w:top w:val="single" w:sz="4" w:space="0" w:color="000000"/>
              <w:right w:val="single" w:sz="4" w:space="0" w:color="000000"/>
            </w:tcBorders>
            <w:shd w:fill="auto" w:val="clear"/>
            <w:vAlign w:val="center"/>
          </w:tcPr>
          <w:p>
            <w:pPr>
              <w:pStyle w:val="Normal"/>
              <w:widowControl w:val="false"/>
              <w:jc w:val="center"/>
              <w:rPr>
                <w:shd w:fill="auto" w:val="clear"/>
              </w:rPr>
            </w:pPr>
            <w:r>
              <w:rPr>
                <w:shd w:fill="auto" w:val="clear"/>
              </w:rPr>
              <w:t xml:space="preserve">Кол-во </w:t>
            </w:r>
          </w:p>
        </w:tc>
        <w:tc>
          <w:tcPr>
            <w:tcW w:w="993" w:type="dxa"/>
            <w:vMerge w:val="restart"/>
            <w:tcBorders>
              <w:top w:val="single" w:sz="4" w:space="0" w:color="000000"/>
              <w:right w:val="single" w:sz="4" w:space="0" w:color="000000"/>
            </w:tcBorders>
            <w:vAlign w:val="center"/>
          </w:tcPr>
          <w:p>
            <w:pPr>
              <w:pStyle w:val="Normal"/>
              <w:widowControl w:val="false"/>
              <w:jc w:val="center"/>
              <w:rPr>
                <w:shd w:fill="auto" w:val="clear"/>
              </w:rPr>
            </w:pPr>
            <w:r>
              <w:rPr>
                <w:shd w:fill="auto" w:val="clear"/>
              </w:rPr>
              <w:t>Цена, руб</w:t>
            </w:r>
          </w:p>
        </w:tc>
        <w:tc>
          <w:tcPr>
            <w:tcW w:w="876" w:type="dxa"/>
            <w:vMerge w:val="restart"/>
            <w:tcBorders>
              <w:top w:val="single" w:sz="4" w:space="0" w:color="000000"/>
              <w:right w:val="single" w:sz="4" w:space="0" w:color="000000"/>
            </w:tcBorders>
            <w:vAlign w:val="center"/>
          </w:tcPr>
          <w:p>
            <w:pPr>
              <w:pStyle w:val="Normal"/>
              <w:widowControl w:val="false"/>
              <w:jc w:val="center"/>
              <w:rPr>
                <w:shd w:fill="auto" w:val="clear"/>
              </w:rPr>
            </w:pPr>
            <w:r>
              <w:rPr>
                <w:shd w:fill="auto" w:val="clear"/>
              </w:rPr>
              <w:t>Сумма, руб.</w:t>
            </w:r>
          </w:p>
        </w:tc>
      </w:tr>
      <w:tr>
        <w:trPr>
          <w:trHeight w:val="408" w:hRule="atLeast"/>
        </w:trPr>
        <w:tc>
          <w:tcPr>
            <w:tcW w:w="853" w:type="dxa"/>
            <w:vMerge w:val="continue"/>
            <w:tcBorders>
              <w:top w:val="single" w:sz="4" w:space="0" w:color="000000"/>
              <w:left w:val="single" w:sz="4" w:space="0" w:color="000000"/>
              <w:right w:val="single" w:sz="4" w:space="0" w:color="000000"/>
            </w:tcBorders>
            <w:shd w:fill="auto" w:val="clear"/>
            <w:vAlign w:val="center"/>
          </w:tcPr>
          <w:p>
            <w:pPr>
              <w:pStyle w:val="Normal"/>
              <w:keepNext w:val="false"/>
              <w:keepLines w:val="false"/>
              <w:widowControl w:val="false"/>
              <w:pBdr/>
              <w:shd w:val="clear" w:fill="auto"/>
              <w:spacing w:lineRule="auto" w:line="276" w:before="0" w:after="0"/>
              <w:ind w:left="0" w:right="0" w:hanging="0"/>
              <w:jc w:val="left"/>
              <w:rPr>
                <w:shd w:fill="auto" w:val="clear"/>
              </w:rPr>
            </w:pPr>
            <w:r>
              <w:rPr>
                <w:shd w:fill="auto" w:val="clear"/>
              </w:rPr>
            </w:r>
          </w:p>
        </w:tc>
        <w:tc>
          <w:tcPr>
            <w:tcW w:w="1147" w:type="dxa"/>
            <w:vMerge w:val="continue"/>
            <w:tcBorders>
              <w:top w:val="single" w:sz="4" w:space="0" w:color="000000"/>
              <w:right w:val="single" w:sz="4" w:space="0" w:color="000000"/>
            </w:tcBorders>
            <w:shd w:fill="auto" w:val="clear"/>
            <w:vAlign w:val="center"/>
          </w:tcPr>
          <w:p>
            <w:pPr>
              <w:pStyle w:val="Normal"/>
              <w:keepNext w:val="false"/>
              <w:keepLines w:val="false"/>
              <w:widowControl w:val="false"/>
              <w:pBdr/>
              <w:shd w:val="clear" w:fill="auto"/>
              <w:spacing w:lineRule="auto" w:line="276" w:before="0" w:after="0"/>
              <w:ind w:left="0" w:right="0" w:hanging="0"/>
              <w:jc w:val="left"/>
              <w:rPr>
                <w:shd w:fill="auto" w:val="clear"/>
              </w:rPr>
            </w:pPr>
            <w:r>
              <w:rPr>
                <w:shd w:fill="auto" w:val="clear"/>
              </w:rPr>
            </w:r>
          </w:p>
        </w:tc>
        <w:tc>
          <w:tcPr>
            <w:tcW w:w="7653" w:type="dxa"/>
            <w:tcBorders>
              <w:top w:val="single" w:sz="4" w:space="0" w:color="000000"/>
              <w:bottom w:val="single" w:sz="4" w:space="0" w:color="000000"/>
              <w:right w:val="single" w:sz="4" w:space="0" w:color="000000"/>
            </w:tcBorders>
            <w:shd w:fill="auto" w:val="clear"/>
            <w:vAlign w:val="center"/>
          </w:tcPr>
          <w:p>
            <w:pPr>
              <w:pStyle w:val="Normal"/>
              <w:widowControl w:val="false"/>
              <w:rPr>
                <w:shd w:fill="auto" w:val="clear"/>
              </w:rPr>
            </w:pPr>
            <w:r>
              <w:rPr>
                <w:shd w:fill="auto" w:val="clear"/>
              </w:rPr>
              <w:t>Показатели, которые не могут изменяться</w:t>
            </w:r>
          </w:p>
        </w:tc>
        <w:tc>
          <w:tcPr>
            <w:tcW w:w="1702" w:type="dxa"/>
            <w:vMerge w:val="continue"/>
            <w:tcBorders>
              <w:top w:val="single" w:sz="4" w:space="0" w:color="000000"/>
              <w:right w:val="single" w:sz="4" w:space="0" w:color="000000"/>
            </w:tcBorders>
            <w:shd w:fill="auto" w:val="clear"/>
            <w:vAlign w:val="center"/>
          </w:tcPr>
          <w:p>
            <w:pPr>
              <w:pStyle w:val="Normal"/>
              <w:keepNext w:val="false"/>
              <w:keepLines w:val="false"/>
              <w:widowControl w:val="false"/>
              <w:pBdr/>
              <w:shd w:val="clear" w:fill="auto"/>
              <w:spacing w:lineRule="auto" w:line="276" w:before="0" w:after="0"/>
              <w:ind w:left="0" w:right="0" w:hanging="0"/>
              <w:jc w:val="left"/>
              <w:rPr>
                <w:shd w:fill="auto" w:val="clear"/>
              </w:rPr>
            </w:pPr>
            <w:r>
              <w:rPr>
                <w:shd w:fill="auto" w:val="clear"/>
              </w:rPr>
            </w:r>
          </w:p>
        </w:tc>
        <w:tc>
          <w:tcPr>
            <w:tcW w:w="708" w:type="dxa"/>
            <w:vMerge w:val="continue"/>
            <w:tcBorders>
              <w:top w:val="single" w:sz="4" w:space="0" w:color="000000"/>
              <w:right w:val="single" w:sz="4" w:space="0" w:color="000000"/>
            </w:tcBorders>
            <w:shd w:fill="auto" w:val="clear"/>
            <w:vAlign w:val="center"/>
          </w:tcPr>
          <w:p>
            <w:pPr>
              <w:pStyle w:val="Normal"/>
              <w:keepNext w:val="false"/>
              <w:keepLines w:val="false"/>
              <w:widowControl w:val="false"/>
              <w:pBdr/>
              <w:shd w:val="clear" w:fill="auto"/>
              <w:spacing w:lineRule="auto" w:line="276" w:before="0" w:after="0"/>
              <w:ind w:left="0" w:right="0" w:hanging="0"/>
              <w:jc w:val="left"/>
              <w:rPr>
                <w:shd w:fill="auto" w:val="clear"/>
              </w:rPr>
            </w:pPr>
            <w:r>
              <w:rPr>
                <w:shd w:fill="auto" w:val="clear"/>
              </w:rPr>
            </w:r>
          </w:p>
        </w:tc>
        <w:tc>
          <w:tcPr>
            <w:tcW w:w="994" w:type="dxa"/>
            <w:vMerge w:val="continue"/>
            <w:tcBorders>
              <w:top w:val="single" w:sz="4" w:space="0" w:color="000000"/>
              <w:right w:val="single" w:sz="4" w:space="0" w:color="000000"/>
            </w:tcBorders>
            <w:shd w:fill="auto" w:val="clear"/>
            <w:vAlign w:val="center"/>
          </w:tcPr>
          <w:p>
            <w:pPr>
              <w:pStyle w:val="Normal"/>
              <w:keepNext w:val="false"/>
              <w:keepLines w:val="false"/>
              <w:widowControl w:val="false"/>
              <w:pBdr/>
              <w:shd w:val="clear" w:fill="auto"/>
              <w:spacing w:lineRule="auto" w:line="276" w:before="0" w:after="0"/>
              <w:ind w:left="0" w:right="0" w:hanging="0"/>
              <w:jc w:val="left"/>
              <w:rPr>
                <w:shd w:fill="auto" w:val="clear"/>
              </w:rPr>
            </w:pPr>
            <w:r>
              <w:rPr>
                <w:shd w:fill="auto" w:val="clear"/>
              </w:rPr>
            </w:r>
          </w:p>
        </w:tc>
        <w:tc>
          <w:tcPr>
            <w:tcW w:w="993" w:type="dxa"/>
            <w:vMerge w:val="continue"/>
            <w:tcBorders>
              <w:bottom w:val="single" w:sz="4" w:space="0" w:color="000000"/>
              <w:right w:val="single" w:sz="4" w:space="0" w:color="000000"/>
            </w:tcBorders>
            <w:vAlign w:val="center"/>
          </w:tcPr>
          <w:p>
            <w:pPr>
              <w:pStyle w:val="Normal"/>
              <w:widowControl w:val="false"/>
              <w:spacing w:lineRule="auto" w:line="240" w:before="0" w:after="0"/>
              <w:ind w:left="0" w:hanging="0"/>
              <w:rPr>
                <w:shd w:fill="auto" w:val="clear"/>
              </w:rPr>
            </w:pPr>
            <w:r>
              <w:rPr>
                <w:shd w:fill="auto" w:val="clear"/>
              </w:rPr>
            </w:r>
          </w:p>
        </w:tc>
        <w:tc>
          <w:tcPr>
            <w:tcW w:w="876" w:type="dxa"/>
            <w:vMerge w:val="continue"/>
            <w:tcBorders>
              <w:bottom w:val="single" w:sz="4" w:space="0" w:color="000000"/>
              <w:right w:val="single" w:sz="4" w:space="0" w:color="000000"/>
            </w:tcBorders>
            <w:vAlign w:val="center"/>
          </w:tcPr>
          <w:p>
            <w:pPr>
              <w:pStyle w:val="Normal"/>
              <w:widowControl w:val="false"/>
              <w:spacing w:lineRule="auto" w:line="240" w:before="0" w:after="0"/>
              <w:ind w:left="0" w:hanging="0"/>
              <w:rPr>
                <w:shd w:fill="auto" w:val="clear"/>
              </w:rPr>
            </w:pPr>
            <w:r>
              <w:rPr>
                <w:shd w:fill="auto" w:val="clear"/>
              </w:rPr>
            </w:r>
          </w:p>
        </w:tc>
      </w:tr>
      <w:tr>
        <w:trPr>
          <w:trHeight w:val="284" w:hRule="atLeast"/>
        </w:trPr>
        <w:tc>
          <w:tcPr>
            <w:tcW w:w="85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1"/>
              </w:numPr>
              <w:ind w:left="720" w:hanging="607"/>
              <w:rPr>
                <w:shd w:fill="auto" w:val="clear"/>
              </w:rPr>
            </w:pPr>
            <w:r>
              <w:rPr>
                <w:shd w:fill="auto" w:val="clear"/>
              </w:rPr>
            </w:r>
          </w:p>
        </w:tc>
        <w:tc>
          <w:tcPr>
            <w:tcW w:w="1147"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Крупа рисовая - рис круглозерный</w:t>
            </w:r>
          </w:p>
        </w:tc>
        <w:tc>
          <w:tcPr>
            <w:tcW w:w="7653"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ГОСТ 6292-93 «Крупа рисовая. Технические условия» не ниже первого сорта. ТР ТС 021/2011 «О безопасности пищевой продукции». Цвет: белый. Запах: свойственный рисовой крупе без посторонних запахов, не затхлый, не плесневелый. Сорт первый или высший. Не допускается поставка генно-инженерно-модифицированной крупы. Упаковка, маркировка и срок хранения должны соответствовать требованиям ГОСТ 26791 «Продукты переработки зерна. Упаковка, маркировка, транспортирование и хранение» и ГОСТ Р. 51074-2003 «Продукты пищевые. Информация для потребителя. Общие требования».  ТР ТС 021/2011 «О безопасности пищевой продукции». Фасовка не менее 1 кг и не более 5 кг Товар имеет срок годности не более 12 месяцев при температуре хранения не выше 18 °С (оптимальная температура — от —5 до 5 °С) и относительной влажности воздуха 60-70% .</w:t>
            </w:r>
          </w:p>
        </w:tc>
        <w:tc>
          <w:tcPr>
            <w:tcW w:w="1702"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10.61.11.000</w:t>
            </w:r>
          </w:p>
        </w:tc>
        <w:tc>
          <w:tcPr>
            <w:tcW w:w="708"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кг.</w:t>
            </w:r>
          </w:p>
        </w:tc>
        <w:tc>
          <w:tcPr>
            <w:tcW w:w="994"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1500</w:t>
            </w:r>
          </w:p>
        </w:tc>
        <w:tc>
          <w:tcPr>
            <w:tcW w:w="993"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c>
          <w:tcPr>
            <w:tcW w:w="876"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r>
      <w:tr>
        <w:trPr>
          <w:trHeight w:val="284" w:hRule="atLeast"/>
        </w:trPr>
        <w:tc>
          <w:tcPr>
            <w:tcW w:w="85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1"/>
              </w:numPr>
              <w:ind w:left="720" w:hanging="607"/>
              <w:rPr>
                <w:shd w:fill="auto" w:val="clear"/>
              </w:rPr>
            </w:pPr>
            <w:r>
              <w:rPr>
                <w:shd w:fill="auto" w:val="clear"/>
              </w:rPr>
            </w:r>
          </w:p>
        </w:tc>
        <w:tc>
          <w:tcPr>
            <w:tcW w:w="1147"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Рис длиннозерный</w:t>
            </w:r>
          </w:p>
        </w:tc>
        <w:tc>
          <w:tcPr>
            <w:tcW w:w="7653"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 xml:space="preserve">ГОСТ 6292-93 «Крупа рисовая. Технические условия» не ниже первого сорта. ТР ТС 021/2011 «О безопасности пищевой продукции». Цвет: белый. Запах: свойственный рисовой крупе без посторонних запахов, не затхлый, не плесневелый. Сорт первый или высший. Не допускается поставка генно-инженерно-модифицированной крупы. Упаковка, маркировка и срок хранения должны соответствовать требованиям ГОСТ 26791 «Продукты переработки зерна. Упаковка, маркировка, транспортирование и хранение» и ГОСТ Р. 51074-2003 «Продукты пищевые. Информация для потребителя. Общие требования».  ТР ТС 021/2011 «О безопасности пищевой продукции». </w:t>
            </w:r>
          </w:p>
          <w:p>
            <w:pPr>
              <w:pStyle w:val="Normal"/>
              <w:widowControl w:val="false"/>
              <w:tabs>
                <w:tab w:val="clear" w:pos="720"/>
                <w:tab w:val="left" w:pos="532" w:leader="none"/>
              </w:tabs>
              <w:rPr>
                <w:shd w:fill="auto" w:val="clear"/>
              </w:rPr>
            </w:pPr>
            <w:r>
              <w:rPr>
                <w:shd w:fill="auto" w:val="clear"/>
              </w:rPr>
              <w:t>Фасовка не менее 1 кг и не более 5 кг</w:t>
            </w:r>
          </w:p>
          <w:p>
            <w:pPr>
              <w:pStyle w:val="Normal"/>
              <w:widowControl w:val="false"/>
              <w:tabs>
                <w:tab w:val="clear" w:pos="720"/>
                <w:tab w:val="left" w:pos="532" w:leader="none"/>
              </w:tabs>
              <w:rPr>
                <w:shd w:fill="auto" w:val="clear"/>
              </w:rPr>
            </w:pPr>
            <w:r>
              <w:rPr>
                <w:shd w:fill="auto" w:val="clear"/>
              </w:rPr>
              <w:t>Товар имеет срок годности не более 12 месяцев при температуре хранения не выше 18 °С (оптимальная температура — от —5 до 5 °С) и относительной влажности</w:t>
            </w:r>
          </w:p>
        </w:tc>
        <w:tc>
          <w:tcPr>
            <w:tcW w:w="1702"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10.61.11.000</w:t>
            </w:r>
          </w:p>
        </w:tc>
        <w:tc>
          <w:tcPr>
            <w:tcW w:w="708"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кг</w:t>
            </w:r>
          </w:p>
        </w:tc>
        <w:tc>
          <w:tcPr>
            <w:tcW w:w="994"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1500</w:t>
            </w:r>
          </w:p>
        </w:tc>
        <w:tc>
          <w:tcPr>
            <w:tcW w:w="993"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c>
          <w:tcPr>
            <w:tcW w:w="876"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r>
      <w:tr>
        <w:trPr>
          <w:trHeight w:val="284" w:hRule="atLeast"/>
        </w:trPr>
        <w:tc>
          <w:tcPr>
            <w:tcW w:w="85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1"/>
              </w:numPr>
              <w:ind w:left="720" w:hanging="607"/>
              <w:rPr>
                <w:shd w:fill="auto" w:val="clear"/>
              </w:rPr>
            </w:pPr>
            <w:r>
              <w:rPr>
                <w:shd w:fill="auto" w:val="clear"/>
              </w:rPr>
            </w:r>
          </w:p>
        </w:tc>
        <w:tc>
          <w:tcPr>
            <w:tcW w:w="1147"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Крупа гречневая</w:t>
            </w:r>
          </w:p>
        </w:tc>
        <w:tc>
          <w:tcPr>
            <w:tcW w:w="7653"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ГОСТ 55290-2012 «Крупа гречневая. Технические условия» ТР ТС 021/2011 «О безопасности пищевой продукции». Целые ядра гречихи. Цвет коричневый. Запах, свойственный для данного вида продукта, без посторонних запахов, не затхлый, не плесневый. Вкус не кислый, не горький, без посторонних привкусов.</w:t>
            </w:r>
          </w:p>
          <w:p>
            <w:pPr>
              <w:pStyle w:val="Normal"/>
              <w:widowControl w:val="false"/>
              <w:tabs>
                <w:tab w:val="clear" w:pos="720"/>
                <w:tab w:val="left" w:pos="532" w:leader="none"/>
              </w:tabs>
              <w:rPr>
                <w:shd w:fill="auto" w:val="clear"/>
              </w:rPr>
            </w:pPr>
            <w:r>
              <w:rPr>
                <w:shd w:fill="auto" w:val="clear"/>
              </w:rPr>
              <w:t>Не допускается поставка генно-инженерно-модифицированной крупы. Упаковка, маркировка и срок хранения должны соответствовать требованиям ГОСТ 26791 «Продукты переработки зерна. Упаковка, маркировка, транспортирование и хранение» и ГОСТ Р. 51074-2003 «Продукты пищевые. Информация для потребителя. Общие требования». ТР ТС 021/2011 «О безопасности пищевой продукции». Фасовка не менее 1 кг и не более 5 кг Товар имеет срок годности не более 18 месяцев при температуре хранения не выше 18 °С (оптимальная температура — от —5 до 5 °С) и относительной влажности воздуха 60-70% .</w:t>
            </w:r>
          </w:p>
        </w:tc>
        <w:tc>
          <w:tcPr>
            <w:tcW w:w="1702"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10.61.32.113</w:t>
            </w:r>
          </w:p>
        </w:tc>
        <w:tc>
          <w:tcPr>
            <w:tcW w:w="708"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кг.</w:t>
            </w:r>
          </w:p>
        </w:tc>
        <w:tc>
          <w:tcPr>
            <w:tcW w:w="994"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1700</w:t>
            </w:r>
          </w:p>
        </w:tc>
        <w:tc>
          <w:tcPr>
            <w:tcW w:w="993"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c>
          <w:tcPr>
            <w:tcW w:w="876"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r>
      <w:tr>
        <w:trPr>
          <w:trHeight w:val="284" w:hRule="atLeast"/>
        </w:trPr>
        <w:tc>
          <w:tcPr>
            <w:tcW w:w="85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1"/>
              </w:numPr>
              <w:ind w:left="720" w:hanging="607"/>
              <w:rPr>
                <w:shd w:fill="auto" w:val="clear"/>
              </w:rPr>
            </w:pPr>
            <w:r>
              <w:rPr>
                <w:shd w:fill="auto" w:val="clear"/>
              </w:rPr>
            </w:r>
          </w:p>
        </w:tc>
        <w:tc>
          <w:tcPr>
            <w:tcW w:w="1147"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Овсяные хлопья</w:t>
            </w:r>
          </w:p>
        </w:tc>
        <w:tc>
          <w:tcPr>
            <w:tcW w:w="7653"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ГОСТ 21149-93 «Хлопья овсяные. Технические условия» для хлопьев видов «Экстра» №1, №2 или №3 и «Геркулес». ТР ТС 021/2011 «О безопасности пищевой продукции». Цвет светло- серый. Без запахов, не затхлый, не плесневый. Вкус не кислый, не горький, без посторонних привкусов. Сорная примесь не более 0,35%. Сорт первый или высший. Масса нетто потребительской упаковки должна быть не менее 3 кг. Хлопья не должны содержать генно-инженерно-модифицированные организмы (ГМО).</w:t>
            </w:r>
          </w:p>
          <w:p>
            <w:pPr>
              <w:pStyle w:val="Normal"/>
              <w:widowControl w:val="false"/>
              <w:tabs>
                <w:tab w:val="clear" w:pos="720"/>
                <w:tab w:val="left" w:pos="532" w:leader="none"/>
              </w:tabs>
              <w:rPr>
                <w:shd w:fill="auto" w:val="clear"/>
              </w:rPr>
            </w:pPr>
            <w:r>
              <w:rPr>
                <w:shd w:fill="auto" w:val="clear"/>
              </w:rPr>
              <w:t xml:space="preserve">Упаковка, маркировка и срок хранения должны соответствовать требованиям ГОСТ 26791 «Продукты переработки зерна. Упаковка, маркировка, транспортирование и хранение» и ГОСТ Р. 51074-2003 «Продукты пищевые. Информация для потребителя. Общие требования». ТР ТС 021/2011 «О безопасности пищевой продукции». </w:t>
            </w:r>
          </w:p>
          <w:p>
            <w:pPr>
              <w:pStyle w:val="Normal"/>
              <w:widowControl w:val="false"/>
              <w:tabs>
                <w:tab w:val="clear" w:pos="720"/>
                <w:tab w:val="left" w:pos="532" w:leader="none"/>
              </w:tabs>
              <w:rPr>
                <w:shd w:fill="auto" w:val="clear"/>
              </w:rPr>
            </w:pPr>
            <w:r>
              <w:rPr>
                <w:shd w:fill="auto" w:val="clear"/>
              </w:rPr>
              <w:t>Фасовка не менее 1 кг и не более 5 кг.</w:t>
            </w:r>
          </w:p>
          <w:p>
            <w:pPr>
              <w:pStyle w:val="Normal"/>
              <w:widowControl w:val="false"/>
              <w:tabs>
                <w:tab w:val="clear" w:pos="720"/>
                <w:tab w:val="left" w:pos="532" w:leader="none"/>
              </w:tabs>
              <w:rPr>
                <w:shd w:fill="auto" w:val="clear"/>
              </w:rPr>
            </w:pPr>
            <w:r>
              <w:rPr>
                <w:shd w:fill="auto" w:val="clear"/>
              </w:rPr>
              <w:t>Товар имеет срок годности не более 4 месяцев при температуре хранения не выше 18 °С (оптимальная температура — от —5 до 5 °С) и относительной влажности воздуха 60-70% .</w:t>
            </w:r>
          </w:p>
        </w:tc>
        <w:tc>
          <w:tcPr>
            <w:tcW w:w="1702"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10.61.32.111</w:t>
            </w:r>
          </w:p>
        </w:tc>
        <w:tc>
          <w:tcPr>
            <w:tcW w:w="708"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r>
          </w:p>
          <w:p>
            <w:pPr>
              <w:pStyle w:val="Normal"/>
              <w:widowControl w:val="false"/>
              <w:rPr>
                <w:shd w:fill="auto" w:val="clear"/>
              </w:rPr>
            </w:pPr>
            <w:r>
              <w:rPr>
                <w:shd w:fill="auto" w:val="clear"/>
              </w:rPr>
              <w:t>кг.</w:t>
            </w:r>
          </w:p>
        </w:tc>
        <w:tc>
          <w:tcPr>
            <w:tcW w:w="994"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r>
          </w:p>
          <w:p>
            <w:pPr>
              <w:pStyle w:val="Normal"/>
              <w:widowControl w:val="false"/>
              <w:rPr>
                <w:shd w:fill="auto" w:val="clear"/>
              </w:rPr>
            </w:pPr>
            <w:r>
              <w:rPr>
                <w:shd w:fill="auto" w:val="clear"/>
              </w:rPr>
              <w:t>1000</w:t>
            </w:r>
          </w:p>
        </w:tc>
        <w:tc>
          <w:tcPr>
            <w:tcW w:w="993"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c>
          <w:tcPr>
            <w:tcW w:w="876"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r>
      <w:tr>
        <w:trPr>
          <w:trHeight w:val="284" w:hRule="atLeast"/>
        </w:trPr>
        <w:tc>
          <w:tcPr>
            <w:tcW w:w="85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1"/>
              </w:numPr>
              <w:ind w:left="720" w:hanging="607"/>
              <w:rPr>
                <w:shd w:fill="auto" w:val="clear"/>
              </w:rPr>
            </w:pPr>
            <w:r>
              <w:rPr>
                <w:shd w:fill="auto" w:val="clear"/>
              </w:rPr>
            </w:r>
          </w:p>
        </w:tc>
        <w:tc>
          <w:tcPr>
            <w:tcW w:w="1147"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Крупа манная</w:t>
            </w:r>
          </w:p>
        </w:tc>
        <w:tc>
          <w:tcPr>
            <w:tcW w:w="7653"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ГОСТ 7022-97 «Крупа манная. Технические условия», ТР ТС 021/2011 «О безопасности пищевой продукции». Преобладает непрозрачная мучнистая крупа ровного белого или кремового цвета. Запах свойственный данному виду крупы, без запахов плесени, затхлости и других посторонних запахов. Марка крупы манной – «М» или «ТМ».</w:t>
            </w:r>
          </w:p>
          <w:p>
            <w:pPr>
              <w:pStyle w:val="Normal"/>
              <w:widowControl w:val="false"/>
              <w:rPr>
                <w:shd w:fill="auto" w:val="clear"/>
              </w:rPr>
            </w:pPr>
            <w:r>
              <w:rPr>
                <w:shd w:fill="auto" w:val="clear"/>
              </w:rPr>
              <w:t>Фасовка не более 25 кг. Не допускается поставка генно-инженерно-модифицированной крупы. Упаковка, маркировка и срок хранения должны соответствовать требованиям ГОСТ 26791 «Продукты переработки зерна. Упаковка, маркировка, транспортирование и хранение» и ГОСТ Р. 51074-2003 «Продукты пищевые. Информация для потребителя. Общие требования». ТР ТС 021/2011 «О безопасности пищевой продукции».</w:t>
            </w:r>
          </w:p>
          <w:p>
            <w:pPr>
              <w:pStyle w:val="Normal"/>
              <w:widowControl w:val="false"/>
              <w:tabs>
                <w:tab w:val="clear" w:pos="720"/>
                <w:tab w:val="left" w:pos="532" w:leader="none"/>
              </w:tabs>
              <w:rPr>
                <w:shd w:fill="auto" w:val="clear"/>
              </w:rPr>
            </w:pPr>
            <w:r>
              <w:rPr>
                <w:shd w:fill="auto" w:val="clear"/>
              </w:rPr>
              <w:t>Фасовка не менее 1 кг и не более 5 кг.</w:t>
            </w:r>
          </w:p>
          <w:p>
            <w:pPr>
              <w:pStyle w:val="Normal"/>
              <w:widowControl w:val="false"/>
              <w:tabs>
                <w:tab w:val="clear" w:pos="720"/>
                <w:tab w:val="left" w:pos="532" w:leader="none"/>
              </w:tabs>
              <w:rPr>
                <w:shd w:fill="auto" w:val="clear"/>
              </w:rPr>
            </w:pPr>
            <w:r>
              <w:rPr>
                <w:shd w:fill="auto" w:val="clear"/>
              </w:rPr>
              <w:t xml:space="preserve">Товар имеет срок годности не более 10 месяцев при температуре хранения не выше 18 °С (оптимальная температура — от —5 до 5 °С) и относительной влажности воздуха 60-70%. </w:t>
            </w:r>
          </w:p>
        </w:tc>
        <w:tc>
          <w:tcPr>
            <w:tcW w:w="1702"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10.61.31.111</w:t>
            </w:r>
          </w:p>
        </w:tc>
        <w:tc>
          <w:tcPr>
            <w:tcW w:w="708"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кг.</w:t>
            </w:r>
          </w:p>
        </w:tc>
        <w:tc>
          <w:tcPr>
            <w:tcW w:w="994"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1000</w:t>
            </w:r>
          </w:p>
        </w:tc>
        <w:tc>
          <w:tcPr>
            <w:tcW w:w="993"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c>
          <w:tcPr>
            <w:tcW w:w="876"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r>
      <w:tr>
        <w:trPr>
          <w:trHeight w:val="284" w:hRule="atLeast"/>
        </w:trPr>
        <w:tc>
          <w:tcPr>
            <w:tcW w:w="85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1"/>
              </w:numPr>
              <w:ind w:left="720" w:hanging="607"/>
              <w:rPr>
                <w:shd w:fill="auto" w:val="clear"/>
              </w:rPr>
            </w:pPr>
            <w:r>
              <w:rPr>
                <w:shd w:fill="auto" w:val="clear"/>
              </w:rPr>
            </w:r>
          </w:p>
        </w:tc>
        <w:tc>
          <w:tcPr>
            <w:tcW w:w="1147"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Горох шлифованный</w:t>
            </w:r>
          </w:p>
        </w:tc>
        <w:tc>
          <w:tcPr>
            <w:tcW w:w="7653"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 xml:space="preserve">ГОСТ 6201-68 «Горох шлифованный. Технические условия».  ТР ТС 021/2011 «О безопасности пищевой продукции». Общий вид: шлифованный с разделенными семядолями. Запах: свойственный гороху, без затхлого, плесенного или иного постороннего запаха. Не допускается поставка генно-инженерно-модифицированного гороха.  Сорт первый.  Маркировка должна соответствовать требованиям ГОСТ Р. 51074-2003 «Продукты пищевые. Информация для потребителя. Общие требования». Упаковка, маркировка и срок хранения должны соответствовать требованиям ГОСТ 26791 «Продукты переработки зерна. ТР ТС 021/2011 «О безопасности пищевой продукции». </w:t>
            </w:r>
          </w:p>
          <w:p>
            <w:pPr>
              <w:pStyle w:val="Normal"/>
              <w:widowControl w:val="false"/>
              <w:tabs>
                <w:tab w:val="clear" w:pos="720"/>
                <w:tab w:val="left" w:pos="532" w:leader="none"/>
              </w:tabs>
              <w:rPr>
                <w:shd w:fill="auto" w:val="clear"/>
              </w:rPr>
            </w:pPr>
            <w:r>
              <w:rPr>
                <w:shd w:fill="auto" w:val="clear"/>
              </w:rPr>
              <w:t>Фасовка не менее 1 кг и не более 5 кг.</w:t>
            </w:r>
          </w:p>
          <w:p>
            <w:pPr>
              <w:pStyle w:val="Normal"/>
              <w:widowControl w:val="false"/>
              <w:tabs>
                <w:tab w:val="clear" w:pos="720"/>
                <w:tab w:val="left" w:pos="532" w:leader="none"/>
              </w:tabs>
              <w:rPr>
                <w:shd w:fill="auto" w:val="clear"/>
              </w:rPr>
            </w:pPr>
            <w:r>
              <w:rPr>
                <w:shd w:fill="auto" w:val="clear"/>
              </w:rPr>
              <w:t>Товар имеет срок годности не более 20 месяцев при температуре хранения не выше 18 °С (оптимальная температура — от —5 до 5 °С) и относительной влажности воздуха 60-70% .</w:t>
            </w:r>
          </w:p>
        </w:tc>
        <w:tc>
          <w:tcPr>
            <w:tcW w:w="1702"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01.11.75.110</w:t>
            </w:r>
          </w:p>
        </w:tc>
        <w:tc>
          <w:tcPr>
            <w:tcW w:w="708"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кг.</w:t>
            </w:r>
          </w:p>
        </w:tc>
        <w:tc>
          <w:tcPr>
            <w:tcW w:w="994"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1000</w:t>
            </w:r>
          </w:p>
        </w:tc>
        <w:tc>
          <w:tcPr>
            <w:tcW w:w="993"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c>
          <w:tcPr>
            <w:tcW w:w="876"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r>
      <w:tr>
        <w:trPr>
          <w:trHeight w:val="284" w:hRule="atLeast"/>
        </w:trPr>
        <w:tc>
          <w:tcPr>
            <w:tcW w:w="85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1"/>
              </w:numPr>
              <w:ind w:left="720" w:hanging="607"/>
              <w:rPr>
                <w:shd w:fill="auto" w:val="clear"/>
              </w:rPr>
            </w:pPr>
            <w:r>
              <w:rPr>
                <w:shd w:fill="auto" w:val="clear"/>
              </w:rPr>
            </w:r>
          </w:p>
        </w:tc>
        <w:tc>
          <w:tcPr>
            <w:tcW w:w="1147"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Крупа перловая</w:t>
            </w:r>
          </w:p>
        </w:tc>
        <w:tc>
          <w:tcPr>
            <w:tcW w:w="7653"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ГОСТ 5784-60, ТР ТС 021/2011 «О безопасности пищевой продукции». Не допускается поставка генно-инженерно-модифицированной крупы. Упаковка, маркировка и срок хранения должны соответствовать требованиям ГОСТ 26791 «Продукты переработки зерна. Упаковка, маркировка, транспортирование и хранение» и ГОСТ Р. 51074-2003 «Продукты пищевые. Информация для потребителя. Общие требования». ТР ТС 021/2011 «О безопасности пищевой продукции».</w:t>
            </w:r>
          </w:p>
          <w:p>
            <w:pPr>
              <w:pStyle w:val="Normal"/>
              <w:widowControl w:val="false"/>
              <w:tabs>
                <w:tab w:val="clear" w:pos="720"/>
                <w:tab w:val="left" w:pos="532" w:leader="none"/>
              </w:tabs>
              <w:rPr>
                <w:shd w:fill="auto" w:val="clear"/>
              </w:rPr>
            </w:pPr>
            <w:r>
              <w:rPr>
                <w:shd w:fill="auto" w:val="clear"/>
              </w:rPr>
              <w:t xml:space="preserve"> </w:t>
            </w:r>
            <w:r>
              <w:rPr>
                <w:shd w:fill="auto" w:val="clear"/>
              </w:rPr>
              <w:t>Фасовка не менее 1 кг и не более 5 кг.</w:t>
            </w:r>
          </w:p>
          <w:p>
            <w:pPr>
              <w:pStyle w:val="Normal"/>
              <w:widowControl w:val="false"/>
              <w:tabs>
                <w:tab w:val="clear" w:pos="720"/>
                <w:tab w:val="left" w:pos="532" w:leader="none"/>
              </w:tabs>
              <w:rPr>
                <w:shd w:fill="auto" w:val="clear"/>
              </w:rPr>
            </w:pPr>
            <w:r>
              <w:rPr>
                <w:shd w:fill="auto" w:val="clear"/>
              </w:rPr>
              <w:t>Товар имеет срок годности не более 10 месяцев при температуре хранения не выше 18 °С (оптимальная температура — от —5 до 5 °С) и относительной влажности воздуха 60-70% .</w:t>
            </w:r>
          </w:p>
        </w:tc>
        <w:tc>
          <w:tcPr>
            <w:tcW w:w="1702"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10.61.32.116</w:t>
            </w:r>
          </w:p>
        </w:tc>
        <w:tc>
          <w:tcPr>
            <w:tcW w:w="708"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кг.</w:t>
            </w:r>
          </w:p>
        </w:tc>
        <w:tc>
          <w:tcPr>
            <w:tcW w:w="994"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700</w:t>
            </w:r>
          </w:p>
        </w:tc>
        <w:tc>
          <w:tcPr>
            <w:tcW w:w="993"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c>
          <w:tcPr>
            <w:tcW w:w="876"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r>
      <w:tr>
        <w:trPr>
          <w:trHeight w:val="284" w:hRule="atLeast"/>
        </w:trPr>
        <w:tc>
          <w:tcPr>
            <w:tcW w:w="85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1"/>
              </w:numPr>
              <w:ind w:left="720" w:hanging="607"/>
              <w:rPr>
                <w:shd w:fill="auto" w:val="clear"/>
              </w:rPr>
            </w:pPr>
            <w:r>
              <w:rPr>
                <w:shd w:fill="auto" w:val="clear"/>
              </w:rPr>
            </w:r>
          </w:p>
        </w:tc>
        <w:tc>
          <w:tcPr>
            <w:tcW w:w="1147"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rFonts w:eastAsia="Times New Roman" w:cs="Times New Roman"/>
                <w:sz w:val="24"/>
                <w:szCs w:val="24"/>
                <w:shd w:fill="auto" w:val="clear"/>
                <w:lang w:eastAsia="ru-RU"/>
              </w:rPr>
              <w:t>П</w:t>
            </w:r>
            <w:r>
              <w:rPr>
                <w:shd w:fill="auto" w:val="clear"/>
              </w:rPr>
              <w:t>шено шлифованное</w:t>
            </w:r>
          </w:p>
        </w:tc>
        <w:tc>
          <w:tcPr>
            <w:tcW w:w="7653"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 xml:space="preserve">ГОСТ 572-60 «Крупа пшено шлифованное. Технические условия» для высшего сорта. ТР ТС 021/2011 «О безопасности пищевой продукции». Цвет желтый разных оттенков. Запах, свойственный для данного вида крупы, без посторонних запахов, не затхлый, не плесневый. Вкус не кислый, не горький, без посторонних привкусов. Сорная примесь не более 0,4%. Сорт первый или высший. Крупа не должна содержать генно-инженерно-модифицированные организмы (ГМО). Упаковка, маркировка и срок хранения должны соответствовать требованиям ГОСТ 26791 «Продукты переработки зерна. Упаковка, маркировка, транспортирование и хранение» и ГОСТ Р. 51074-2003 «Продукты пищевые. Информация для потребителя. Общие требования». ТС 021/2011 «О безопасности пищевой продукции». </w:t>
            </w:r>
          </w:p>
          <w:p>
            <w:pPr>
              <w:pStyle w:val="Normal"/>
              <w:widowControl w:val="false"/>
              <w:tabs>
                <w:tab w:val="clear" w:pos="720"/>
                <w:tab w:val="left" w:pos="532" w:leader="none"/>
              </w:tabs>
              <w:rPr>
                <w:shd w:fill="auto" w:val="clear"/>
              </w:rPr>
            </w:pPr>
            <w:r>
              <w:rPr>
                <w:shd w:fill="auto" w:val="clear"/>
              </w:rPr>
              <w:t>Фасовка не менее 1 кг и не более 5 кг.</w:t>
            </w:r>
          </w:p>
          <w:p>
            <w:pPr>
              <w:pStyle w:val="Normal"/>
              <w:widowControl w:val="false"/>
              <w:tabs>
                <w:tab w:val="clear" w:pos="720"/>
                <w:tab w:val="left" w:pos="532" w:leader="none"/>
              </w:tabs>
              <w:rPr>
                <w:shd w:fill="auto" w:val="clear"/>
              </w:rPr>
            </w:pPr>
            <w:r>
              <w:rPr>
                <w:shd w:fill="auto" w:val="clear"/>
              </w:rPr>
              <w:t>Товар имеет срок годности не более 9 месяцев при температуре хранения не выше 18 °С (оптимальная температура — от —5 до 5 °С) и относительной влажности воздуха 60-70% .</w:t>
            </w:r>
          </w:p>
        </w:tc>
        <w:tc>
          <w:tcPr>
            <w:tcW w:w="1702"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10.61.32.114</w:t>
            </w:r>
          </w:p>
        </w:tc>
        <w:tc>
          <w:tcPr>
            <w:tcW w:w="708"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кг.</w:t>
            </w:r>
          </w:p>
        </w:tc>
        <w:tc>
          <w:tcPr>
            <w:tcW w:w="994"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500</w:t>
            </w:r>
          </w:p>
        </w:tc>
        <w:tc>
          <w:tcPr>
            <w:tcW w:w="993"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c>
          <w:tcPr>
            <w:tcW w:w="876"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r>
      <w:tr>
        <w:trPr>
          <w:trHeight w:val="1900" w:hRule="atLeast"/>
        </w:trPr>
        <w:tc>
          <w:tcPr>
            <w:tcW w:w="85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1"/>
              </w:numPr>
              <w:ind w:left="720" w:hanging="607"/>
              <w:rPr>
                <w:shd w:fill="auto" w:val="clear"/>
              </w:rPr>
            </w:pPr>
            <w:r>
              <w:rPr>
                <w:shd w:fill="auto" w:val="clear"/>
              </w:rPr>
            </w:r>
          </w:p>
        </w:tc>
        <w:tc>
          <w:tcPr>
            <w:tcW w:w="1147"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Фасоль</w:t>
            </w:r>
          </w:p>
        </w:tc>
        <w:tc>
          <w:tcPr>
            <w:tcW w:w="7653" w:type="dxa"/>
            <w:tcBorders>
              <w:top w:val="single" w:sz="4" w:space="0" w:color="000000"/>
              <w:bottom w:val="single" w:sz="4" w:space="0" w:color="000000"/>
              <w:right w:val="single" w:sz="4" w:space="0" w:color="000000"/>
            </w:tcBorders>
            <w:shd w:fill="auto" w:val="clear"/>
          </w:tcPr>
          <w:p>
            <w:pPr>
              <w:pStyle w:val="Normal"/>
              <w:widowControl w:val="false"/>
              <w:ind w:left="-12" w:hanging="0"/>
              <w:rPr>
                <w:shd w:fill="auto" w:val="clear"/>
              </w:rPr>
            </w:pPr>
            <w:r>
              <w:rPr>
                <w:shd w:fill="auto" w:val="clear"/>
              </w:rPr>
              <w:t xml:space="preserve">ТР ТС 021/2011 «О безопасности пищевой продукции» </w:t>
            </w:r>
          </w:p>
          <w:p>
            <w:pPr>
              <w:pStyle w:val="Normal"/>
              <w:widowControl w:val="false"/>
              <w:ind w:left="-12" w:hanging="0"/>
              <w:rPr>
                <w:shd w:fill="auto" w:val="clear"/>
              </w:rPr>
            </w:pPr>
            <w:r>
              <w:rPr>
                <w:shd w:fill="auto" w:val="clear"/>
              </w:rPr>
              <w:t xml:space="preserve">Фасоль сухая: Заготовляемая и поставляемая фасоль должна быть одного типа и подтипа, в не греющемся состоянии, иметь цвет и запах, свойственные здоровым нормальным семенам фасоли (без затхлого, солодового, плесневого и постороннего запаха. Упаковка, маркировка и срок хранения должны соответствовать требованиям ГОСТ 26791 «Продукты переработки зерна. Фасовка не менее 1 кг и не более 5 кг. </w:t>
            </w:r>
          </w:p>
        </w:tc>
        <w:tc>
          <w:tcPr>
            <w:tcW w:w="1702"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01.11.71.110</w:t>
            </w:r>
          </w:p>
        </w:tc>
        <w:tc>
          <w:tcPr>
            <w:tcW w:w="708"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кг</w:t>
            </w:r>
          </w:p>
        </w:tc>
        <w:tc>
          <w:tcPr>
            <w:tcW w:w="994"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200</w:t>
            </w:r>
          </w:p>
        </w:tc>
        <w:tc>
          <w:tcPr>
            <w:tcW w:w="993"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c>
          <w:tcPr>
            <w:tcW w:w="876"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r>
      <w:tr>
        <w:trPr>
          <w:trHeight w:val="2225" w:hRule="atLeast"/>
        </w:trPr>
        <w:tc>
          <w:tcPr>
            <w:tcW w:w="85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0"/>
              </w:numPr>
              <w:bidi w:val="0"/>
              <w:spacing w:lineRule="auto" w:line="240" w:before="0" w:after="0"/>
              <w:ind w:left="352" w:right="0" w:hanging="0"/>
              <w:jc w:val="left"/>
              <w:rPr>
                <w:shd w:fill="auto" w:val="clear"/>
              </w:rPr>
            </w:pPr>
            <w:r>
              <w:rPr>
                <w:shd w:fill="auto" w:val="clear"/>
              </w:rPr>
              <w:t>10.</w:t>
            </w:r>
          </w:p>
        </w:tc>
        <w:tc>
          <w:tcPr>
            <w:tcW w:w="1147"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Крупа 5 злаков</w:t>
            </w:r>
          </w:p>
        </w:tc>
        <w:tc>
          <w:tcPr>
            <w:tcW w:w="7653" w:type="dxa"/>
            <w:tcBorders>
              <w:top w:val="single" w:sz="4" w:space="0" w:color="000000"/>
              <w:bottom w:val="single" w:sz="4" w:space="0" w:color="000000"/>
              <w:right w:val="single" w:sz="4" w:space="0" w:color="000000"/>
            </w:tcBorders>
            <w:shd w:fill="auto" w:val="clear"/>
          </w:tcPr>
          <w:p>
            <w:pPr>
              <w:pStyle w:val="Normal"/>
              <w:widowControl w:val="false"/>
              <w:ind w:left="-12" w:hanging="0"/>
              <w:rPr>
                <w:color w:val="000000"/>
                <w:shd w:fill="auto" w:val="clear"/>
              </w:rPr>
            </w:pPr>
            <w:r>
              <w:rPr>
                <w:color w:val="000000"/>
                <w:shd w:fill="auto" w:val="clear"/>
              </w:rPr>
              <w:t xml:space="preserve">ТР ТС 021/2011 «О безопасности пищевой продукции» </w:t>
            </w:r>
          </w:p>
          <w:p>
            <w:pPr>
              <w:pStyle w:val="Normal"/>
              <w:widowControl w:val="false"/>
              <w:spacing w:lineRule="auto" w:line="276"/>
              <w:rPr>
                <w:color w:val="000000"/>
                <w:shd w:fill="auto" w:val="clear"/>
              </w:rPr>
            </w:pPr>
            <w:r>
              <w:rPr>
                <w:color w:val="000000"/>
                <w:shd w:fill="auto" w:val="clear"/>
              </w:rPr>
              <w:t>Состав: хлопья овсяные, пшеничные, ячменные, ржаные, гречневые</w:t>
            </w:r>
          </w:p>
          <w:p>
            <w:pPr>
              <w:pStyle w:val="Normal"/>
              <w:widowControl w:val="false"/>
              <w:spacing w:lineRule="auto" w:line="276"/>
              <w:rPr>
                <w:color w:val="000000"/>
                <w:shd w:fill="auto" w:val="clear"/>
              </w:rPr>
            </w:pPr>
            <w:r>
              <w:rPr>
                <w:color w:val="000000"/>
                <w:shd w:fill="auto" w:val="clear"/>
              </w:rPr>
              <w:t>Вкус и запах, свойственные данному виду изделия, без постороннего привкуса и запаха, не затхлый, не плесневый. Упаковка герметичная :  весом не менее 400 гр. и не более 500 гр. Остаточный срок годности на момент поставки не менее 50% срока годности с момента выработки крупы.</w:t>
            </w:r>
          </w:p>
        </w:tc>
        <w:tc>
          <w:tcPr>
            <w:tcW w:w="1702"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10.61.33.130</w:t>
            </w:r>
          </w:p>
        </w:tc>
        <w:tc>
          <w:tcPr>
            <w:tcW w:w="708"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кг</w:t>
            </w:r>
          </w:p>
        </w:tc>
        <w:tc>
          <w:tcPr>
            <w:tcW w:w="994"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250</w:t>
            </w:r>
          </w:p>
        </w:tc>
        <w:tc>
          <w:tcPr>
            <w:tcW w:w="993"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c>
          <w:tcPr>
            <w:tcW w:w="876"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r>
      <w:tr>
        <w:trPr>
          <w:trHeight w:val="1833" w:hRule="atLeast"/>
        </w:trPr>
        <w:tc>
          <w:tcPr>
            <w:tcW w:w="85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numPr>
                <w:ilvl w:val="0"/>
                <w:numId w:val="0"/>
              </w:numPr>
              <w:bidi w:val="0"/>
              <w:spacing w:lineRule="auto" w:line="240" w:before="0" w:after="0"/>
              <w:ind w:left="352" w:right="0" w:hanging="0"/>
              <w:jc w:val="left"/>
              <w:rPr>
                <w:shd w:fill="auto" w:val="clear"/>
              </w:rPr>
            </w:pPr>
            <w:r>
              <w:rPr>
                <w:shd w:fill="auto" w:val="clear"/>
              </w:rPr>
              <w:t>11.</w:t>
            </w:r>
          </w:p>
        </w:tc>
        <w:tc>
          <w:tcPr>
            <w:tcW w:w="1147"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Крупа пшеничная</w:t>
            </w:r>
          </w:p>
        </w:tc>
        <w:tc>
          <w:tcPr>
            <w:tcW w:w="7653" w:type="dxa"/>
            <w:tcBorders>
              <w:top w:val="single" w:sz="4" w:space="0" w:color="000000"/>
              <w:bottom w:val="single" w:sz="4" w:space="0" w:color="000000"/>
              <w:right w:val="single" w:sz="4" w:space="0" w:color="000000"/>
            </w:tcBorders>
            <w:shd w:fill="auto" w:val="clear"/>
          </w:tcPr>
          <w:p>
            <w:pPr>
              <w:pStyle w:val="Normal"/>
              <w:widowControl w:val="false"/>
              <w:ind w:left="-12" w:hanging="0"/>
              <w:rPr>
                <w:shd w:fill="auto" w:val="clear"/>
              </w:rPr>
            </w:pPr>
            <w:r>
              <w:rPr>
                <w:shd w:fill="auto" w:val="clear"/>
              </w:rPr>
              <w:t xml:space="preserve">ТР ТС 021/2011 «О безопасности пищевой продукции» </w:t>
            </w:r>
          </w:p>
          <w:p>
            <w:pPr>
              <w:pStyle w:val="Normal"/>
              <w:widowControl w:val="false"/>
              <w:spacing w:lineRule="auto" w:line="276"/>
              <w:rPr>
                <w:shd w:fill="auto" w:val="clear"/>
              </w:rPr>
            </w:pPr>
            <w:r>
              <w:rPr>
                <w:color w:val="2D2D2D"/>
                <w:shd w:fill="auto" w:val="clear"/>
              </w:rPr>
              <w:t xml:space="preserve">Вкус и запах, свойственные данному виду изделия, без постороннего привкуса и запаха, не затхлый, не плесневый. </w:t>
            </w:r>
            <w:r>
              <w:rPr>
                <w:shd w:fill="auto" w:val="clear"/>
              </w:rPr>
              <w:t>Фасовка не менее 1 кг и не более 5 кг. Товар имеет срок годности не более 9 месяцев при температуре хранения не выше 18 °С (оптимальная температура — от —5 до 5 °С) и относительной влажности воздуха 60-70% .</w:t>
            </w:r>
          </w:p>
        </w:tc>
        <w:tc>
          <w:tcPr>
            <w:tcW w:w="1702" w:type="dxa"/>
            <w:tcBorders>
              <w:top w:val="single" w:sz="4" w:space="0" w:color="000000"/>
              <w:bottom w:val="single" w:sz="4" w:space="0" w:color="000000"/>
              <w:right w:val="single" w:sz="4" w:space="0" w:color="000000"/>
            </w:tcBorders>
            <w:shd w:fill="auto" w:val="clear"/>
          </w:tcPr>
          <w:p>
            <w:pPr>
              <w:pStyle w:val="Normal"/>
              <w:widowControl w:val="false"/>
              <w:tabs>
                <w:tab w:val="clear" w:pos="720"/>
                <w:tab w:val="left" w:pos="532" w:leader="none"/>
              </w:tabs>
              <w:rPr>
                <w:shd w:fill="auto" w:val="clear"/>
              </w:rPr>
            </w:pPr>
            <w:r>
              <w:rPr>
                <w:shd w:fill="auto" w:val="clear"/>
              </w:rPr>
              <w:t>10.61.31.110</w:t>
            </w:r>
          </w:p>
        </w:tc>
        <w:tc>
          <w:tcPr>
            <w:tcW w:w="708"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кг</w:t>
            </w:r>
          </w:p>
        </w:tc>
        <w:tc>
          <w:tcPr>
            <w:tcW w:w="994" w:type="dxa"/>
            <w:tcBorders>
              <w:top w:val="single" w:sz="4" w:space="0" w:color="000000"/>
              <w:bottom w:val="single" w:sz="4" w:space="0" w:color="000000"/>
              <w:right w:val="single" w:sz="4" w:space="0" w:color="000000"/>
            </w:tcBorders>
            <w:shd w:fill="auto" w:val="clear"/>
          </w:tcPr>
          <w:p>
            <w:pPr>
              <w:pStyle w:val="Normal"/>
              <w:widowControl w:val="false"/>
              <w:rPr>
                <w:shd w:fill="auto" w:val="clear"/>
              </w:rPr>
            </w:pPr>
            <w:r>
              <w:rPr>
                <w:shd w:fill="auto" w:val="clear"/>
              </w:rPr>
              <w:t>500</w:t>
            </w:r>
          </w:p>
        </w:tc>
        <w:tc>
          <w:tcPr>
            <w:tcW w:w="993"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c>
          <w:tcPr>
            <w:tcW w:w="876" w:type="dxa"/>
            <w:tcBorders>
              <w:top w:val="single" w:sz="4" w:space="0" w:color="000000"/>
              <w:bottom w:val="single" w:sz="4" w:space="0" w:color="000000"/>
              <w:right w:val="single" w:sz="4" w:space="0" w:color="000000"/>
            </w:tcBorders>
          </w:tcPr>
          <w:p>
            <w:pPr>
              <w:pStyle w:val="Normal"/>
              <w:widowControl w:val="false"/>
              <w:rPr>
                <w:shd w:fill="auto" w:val="clear"/>
              </w:rPr>
            </w:pPr>
            <w:r>
              <w:rPr>
                <w:shd w:fill="auto" w:val="clear"/>
              </w:rPr>
            </w:r>
          </w:p>
        </w:tc>
      </w:tr>
    </w:tbl>
    <w:p>
      <w:pPr>
        <w:pStyle w:val="Normal"/>
        <w:rPr/>
      </w:pPr>
      <w:r>
        <w:rPr/>
      </w:r>
    </w:p>
    <w:p>
      <w:pPr>
        <w:pStyle w:val="Normal"/>
        <w:rPr/>
      </w:pPr>
      <w:r>
        <w:rPr/>
      </w:r>
    </w:p>
    <w:sectPr>
      <w:type w:val="nextPage"/>
      <w:pgSz w:orient="landscape" w:w="16838" w:h="11906"/>
      <w:pgMar w:left="1134" w:right="1134" w:header="0" w:top="1701" w:footer="0" w:bottom="851" w:gutter="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libri">
    <w:charset w:val="cc"/>
    <w:family w:val="roman"/>
    <w:pitch w:val="variable"/>
  </w:font>
  <w:font w:name="Liberation Sans">
    <w:altName w:val="Arial"/>
    <w:charset w:val="cc"/>
    <w:family w:val="swiss"/>
    <w:pitch w:val="variable"/>
  </w:font>
  <w:font w:name="Georgia">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49" w:hanging="607"/>
      </w:pPr>
    </w:lvl>
    <w:lvl w:ilvl="1">
      <w:start w:val="2"/>
      <w:numFmt w:val="decimal"/>
      <w:lvlText w:val="%1.%2"/>
      <w:lvlJc w:val="left"/>
      <w:pPr>
        <w:tabs>
          <w:tab w:val="num" w:pos="0"/>
        </w:tabs>
        <w:ind w:left="786" w:hanging="360"/>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506" w:hanging="1080"/>
      </w:pPr>
    </w:lvl>
    <w:lvl w:ilvl="5">
      <w:start w:val="1"/>
      <w:numFmt w:val="decimal"/>
      <w:lvlText w:val="%1.%2.%3.%4.%5.%6"/>
      <w:lvlJc w:val="left"/>
      <w:pPr>
        <w:tabs>
          <w:tab w:val="num" w:pos="0"/>
        </w:tabs>
        <w:ind w:left="1506" w:hanging="108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1866" w:hanging="1440"/>
      </w:pPr>
    </w:lvl>
    <w:lvl w:ilvl="8">
      <w:start w:val="1"/>
      <w:numFmt w:val="decimal"/>
      <w:lvlText w:val="%1.%2.%3.%4.%5.%6.%7.%8.%9"/>
      <w:lvlJc w:val="left"/>
      <w:pPr>
        <w:tabs>
          <w:tab w:val="num" w:pos="0"/>
        </w:tabs>
        <w:ind w:left="1866" w:hanging="144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4"/>
        <w:szCs w:val="24"/>
        <w:lang w:val="ru-RU" w:eastAsia="zh-CN" w:bidi="hi-IN"/>
      </w:rPr>
    </w:rPrDefault>
    <w:pPrDefault>
      <w:pPr>
        <w:suppressAutoHyphens w:val="true"/>
      </w:pPr>
    </w:pPrDefault>
  </w:docDefaults>
  <w:style w:type="paragraph" w:styleId="Normal" w:default="1">
    <w:name w:val="Normal"/>
    <w:qFormat/>
    <w:rsid w:val="00817c5f"/>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hi-IN"/>
    </w:rPr>
  </w:style>
  <w:style w:type="paragraph" w:styleId="1">
    <w:name w:val="Heading 1"/>
    <w:basedOn w:val="Normal1"/>
    <w:next w:val="Normal1"/>
    <w:qFormat/>
    <w:pPr>
      <w:keepNext w:val="true"/>
      <w:keepLines/>
      <w:pageBreakBefore w:val="false"/>
      <w:spacing w:lineRule="auto" w:line="240" w:before="480" w:after="120"/>
    </w:pPr>
    <w:rPr>
      <w:b/>
      <w:sz w:val="48"/>
      <w:szCs w:val="48"/>
    </w:rPr>
  </w:style>
  <w:style w:type="paragraph" w:styleId="2">
    <w:name w:val="Heading 2"/>
    <w:basedOn w:val="Normal1"/>
    <w:next w:val="Normal1"/>
    <w:qFormat/>
    <w:pPr>
      <w:keepNext w:val="true"/>
      <w:keepLines/>
      <w:pageBreakBefore w:val="false"/>
      <w:spacing w:lineRule="auto" w:line="240" w:before="360" w:after="80"/>
    </w:pPr>
    <w:rPr>
      <w:b/>
      <w:sz w:val="36"/>
      <w:szCs w:val="36"/>
    </w:rPr>
  </w:style>
  <w:style w:type="paragraph" w:styleId="3">
    <w:name w:val="Heading 3"/>
    <w:basedOn w:val="Normal1"/>
    <w:next w:val="Normal1"/>
    <w:qFormat/>
    <w:pPr>
      <w:keepNext w:val="true"/>
      <w:keepLines/>
      <w:pageBreakBefore w:val="false"/>
      <w:spacing w:lineRule="auto" w:line="240" w:before="280" w:after="80"/>
    </w:pPr>
    <w:rPr>
      <w:b/>
      <w:sz w:val="28"/>
      <w:szCs w:val="28"/>
    </w:rPr>
  </w:style>
  <w:style w:type="paragraph" w:styleId="4">
    <w:name w:val="Heading 4"/>
    <w:basedOn w:val="Normal1"/>
    <w:next w:val="Normal1"/>
    <w:qFormat/>
    <w:pPr>
      <w:keepNext w:val="true"/>
      <w:keepLines/>
      <w:pageBreakBefore w:val="false"/>
      <w:spacing w:lineRule="auto" w:line="240" w:before="240" w:after="40"/>
    </w:pPr>
    <w:rPr>
      <w:b/>
      <w:sz w:val="24"/>
      <w:szCs w:val="24"/>
    </w:rPr>
  </w:style>
  <w:style w:type="paragraph" w:styleId="5">
    <w:name w:val="Heading 5"/>
    <w:basedOn w:val="Normal1"/>
    <w:next w:val="Normal1"/>
    <w:qFormat/>
    <w:pPr>
      <w:keepNext w:val="true"/>
      <w:keepLines/>
      <w:pageBreakBefore w:val="false"/>
      <w:spacing w:lineRule="auto" w:line="240" w:before="220" w:after="40"/>
    </w:pPr>
    <w:rPr>
      <w:b/>
      <w:sz w:val="22"/>
      <w:szCs w:val="22"/>
    </w:rPr>
  </w:style>
  <w:style w:type="paragraph" w:styleId="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character" w:styleId="Style8" w:customStyle="1">
    <w:name w:val="Без интервала Знак"/>
    <w:link w:val="a3"/>
    <w:qFormat/>
    <w:locked/>
    <w:rsid w:val="00817c5f"/>
    <w:rPr>
      <w:rFonts w:ascii="Calibri" w:hAnsi="Calibri" w:eastAsia="Times New Roman" w:cs="Calibri"/>
      <w:lang w:eastAsia="ru-RU"/>
    </w:rPr>
  </w:style>
  <w:style w:type="paragraph" w:styleId="Style9">
    <w:name w:val="Заголовок"/>
    <w:basedOn w:val="Normal"/>
    <w:next w:val="Style10"/>
    <w:qFormat/>
    <w:pPr>
      <w:keepNext w:val="true"/>
      <w:spacing w:before="240" w:after="120"/>
    </w:pPr>
    <w:rPr>
      <w:rFonts w:ascii="Liberation Sans" w:hAnsi="Liberation Sans" w:eastAsia="Microsoft YaHei" w:cs="Arial"/>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Arial"/>
    </w:rPr>
  </w:style>
  <w:style w:type="paragraph" w:styleId="Style12">
    <w:name w:val="Caption"/>
    <w:basedOn w:val="Normal"/>
    <w:qFormat/>
    <w:pPr>
      <w:suppressLineNumbers/>
      <w:spacing w:before="120" w:after="120"/>
    </w:pPr>
    <w:rPr>
      <w:rFonts w:cs="Arial"/>
      <w:i/>
      <w:iCs/>
      <w:sz w:val="24"/>
      <w:szCs w:val="24"/>
    </w:rPr>
  </w:style>
  <w:style w:type="paragraph" w:styleId="Style13">
    <w:name w:val="Указатель"/>
    <w:basedOn w:val="Normal"/>
    <w:qFormat/>
    <w:pPr>
      <w:suppressLineNumbers/>
    </w:pPr>
    <w:rPr>
      <w:rFonts w:cs="Arial"/>
    </w:rPr>
  </w:style>
  <w:style w:type="paragraph" w:styleId="Normal1" w:default="1">
    <w:name w:val="LO-normal"/>
    <w:qFormat/>
    <w:pPr>
      <w:widowControl/>
      <w:bidi w:val="0"/>
      <w:spacing w:before="0" w:after="0"/>
      <w:jc w:val="left"/>
    </w:pPr>
    <w:rPr>
      <w:rFonts w:ascii="Times New Roman" w:hAnsi="Times New Roman" w:eastAsia="NSimSun" w:cs="Arial"/>
      <w:color w:val="auto"/>
      <w:kern w:val="0"/>
      <w:sz w:val="24"/>
      <w:szCs w:val="24"/>
      <w:lang w:val="ru-RU" w:eastAsia="zh-CN" w:bidi="hi-IN"/>
    </w:rPr>
  </w:style>
  <w:style w:type="paragraph" w:styleId="Style14">
    <w:name w:val="Title"/>
    <w:basedOn w:val="Normal1"/>
    <w:next w:val="Normal1"/>
    <w:qFormat/>
    <w:pPr>
      <w:keepNext w:val="true"/>
      <w:keepLines/>
      <w:pageBreakBefore w:val="false"/>
      <w:spacing w:lineRule="auto" w:line="240" w:before="480" w:after="120"/>
    </w:pPr>
    <w:rPr>
      <w:b/>
      <w:sz w:val="72"/>
      <w:szCs w:val="72"/>
    </w:rPr>
  </w:style>
  <w:style w:type="paragraph" w:styleId="NoSpacing">
    <w:name w:val="No Spacing"/>
    <w:link w:val="a4"/>
    <w:qFormat/>
    <w:rsid w:val="00817c5f"/>
    <w:pPr>
      <w:widowControl/>
      <w:bidi w:val="0"/>
      <w:spacing w:lineRule="auto" w:line="240" w:before="0" w:after="0"/>
      <w:jc w:val="left"/>
    </w:pPr>
    <w:rPr>
      <w:rFonts w:ascii="Calibri" w:hAnsi="Calibri" w:eastAsia="Times New Roman" w:cs="Calibri"/>
      <w:color w:val="auto"/>
      <w:kern w:val="0"/>
      <w:sz w:val="24"/>
      <w:szCs w:val="24"/>
      <w:lang w:eastAsia="ru-RU" w:val="ru-RU" w:bidi="hi-IN"/>
    </w:rPr>
  </w:style>
  <w:style w:type="paragraph" w:styleId="Style15">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TableNormal">
    <w:name w:val="Table Normal"/>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i0U3FGny9UH5jljIgPBd+ohXP8uw==">AMUW2mUo9wP3GQFBxBfPageq0nuNcFFUanRoRDirkOps08/TSmKMS3oEIRdByjokPZ00oKiqGg1uyNhsg6xhHGeZyvLOzpPnlXNFRHNShrQAF0E2wlm00u7zvesHg65h8fJPN9lFwg5hIoNgfA42cWl0747zgnmj8EhhCZ2zg9S02tY0prjQy4/CiJGCdFlUcQjYPOf+/TM0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4</TotalTime>
  <Application>LibreOffice/7.0.4.2$Windows_X86_64 LibreOffice_project/dcf040e67528d9187c66b2379df5ea4407429775</Application>
  <AppVersion>15.0000</AppVersion>
  <Pages>5</Pages>
  <Words>1248</Words>
  <Characters>7734</Characters>
  <CharactersWithSpaces>8915</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2021-11-10T09:43:00Z</dcterms:created>
  <dc:creator>Bykreeva</dc:creator>
  <dc:description/>
  <dc:language>ru-RU</dc:language>
  <cp:lastModifiedBy/>
  <dcterms:modified xsi:type="dcterms:W3CDTF">2021-11-12T21:32:57Z</dcterms:modified>
  <cp:revision>1</cp:revision>
  <dc:subject/>
  <dc:title/>
</cp:coreProperties>
</file>