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6804" w:leader="none"/>
        </w:tabs>
        <w:jc w:val="right"/>
        <w:rPr>
          <w:rFonts w:ascii="Arial" w:hAnsi="Arial" w:eastAsia="Calibri" w:cs="Arial" w:eastAsiaTheme="minorHAnsi"/>
          <w:sz w:val="16"/>
          <w:szCs w:val="16"/>
          <w:lang w:eastAsia="en-US"/>
        </w:rPr>
      </w:pPr>
      <w:r>
        <w:rPr/>
      </w:r>
    </w:p>
    <w:p>
      <w:pPr>
        <w:pStyle w:val="Normal"/>
        <w:jc w:val="center"/>
        <w:rPr>
          <w:rFonts w:ascii="Arial" w:hAnsi="Arial" w:eastAsia="Calibri" w:cs="Arial" w:eastAsiaTheme="minorHAnsi"/>
          <w:b/>
          <w:b/>
          <w:lang w:eastAsia="en-US"/>
        </w:rPr>
      </w:pPr>
      <w:r>
        <w:rPr>
          <w:rFonts w:eastAsia="Calibri" w:cs="Arial" w:ascii="Arial" w:hAnsi="Arial" w:eastAsiaTheme="minorHAnsi"/>
          <w:b/>
          <w:lang w:eastAsia="en-US"/>
        </w:rPr>
        <w:t>Требования к закупаемой продукции (описание предмета закупки)</w:t>
      </w:r>
    </w:p>
    <w:tbl>
      <w:tblPr>
        <w:tblStyle w:val="25"/>
        <w:tblW w:w="94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0"/>
        <w:gridCol w:w="9202"/>
      </w:tblGrid>
      <w:tr>
        <w:trPr/>
        <w:tc>
          <w:tcPr>
            <w:tcW w:w="2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1</w:t>
            </w:r>
          </w:p>
        </w:tc>
        <w:tc>
          <w:tcPr>
            <w:tcW w:w="92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Общие требования</w:t>
            </w:r>
          </w:p>
        </w:tc>
      </w:tr>
      <w:tr>
        <w:trPr/>
        <w:tc>
          <w:tcPr>
            <w:tcW w:w="2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  <w:tc>
          <w:tcPr>
            <w:tcW w:w="92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 w:eastAsiaTheme="minorHAnsi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2</w:t>
            </w:r>
          </w:p>
        </w:tc>
        <w:tc>
          <w:tcPr>
            <w:tcW w:w="92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39" w:leader="none"/>
                <w:tab w:val="center" w:pos="4543" w:leader="none"/>
              </w:tabs>
              <w:spacing w:lineRule="auto" w:line="240" w:before="0" w:after="0"/>
              <w:rPr>
                <w:rFonts w:ascii="Arial" w:hAnsi="Arial" w:eastAsia="Calibri" w:cs="Arial" w:eastAsiaTheme="minorHAnsi"/>
                <w:b/>
                <w:b/>
                <w:sz w:val="22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Arial" w:asciiTheme="minorHAnsi" w:eastAsiaTheme="minorHAnsi" w:hAnsiTheme="minorHAnsi"/>
                <w:sz w:val="22"/>
                <w:lang w:eastAsia="en-US"/>
              </w:rPr>
            </w:pPr>
            <w:r>
              <w:rPr>
                <w:rFonts w:eastAsia="Calibri" w:cs="Arial" w:eastAsiaTheme="minorHAnsi" w:ascii="Calibri" w:hAnsi="Calibri"/>
                <w:sz w:val="22"/>
                <w:lang w:eastAsia="en-US"/>
              </w:rPr>
            </w:r>
          </w:p>
        </w:tc>
        <w:tc>
          <w:tcPr>
            <w:tcW w:w="92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eastAsia="Calibri" w:cs="Arial" w:eastAsiaTheme="minorHAnsi"/>
                <w:sz w:val="22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3</w:t>
            </w:r>
          </w:p>
        </w:tc>
        <w:tc>
          <w:tcPr>
            <w:tcW w:w="92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b/>
                <w:b/>
                <w:sz w:val="22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2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  <w:tc>
          <w:tcPr>
            <w:tcW w:w="92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</w:tr>
      <w:tr>
        <w:trPr/>
        <w:tc>
          <w:tcPr>
            <w:tcW w:w="2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4</w:t>
            </w:r>
          </w:p>
        </w:tc>
        <w:tc>
          <w:tcPr>
            <w:tcW w:w="92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C6D9F1" w:themeFill="text2" w:themeFillTint="33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b/>
                <w:b/>
                <w:lang w:eastAsia="en-US"/>
              </w:rPr>
            </w:pPr>
            <w:r>
              <w:rPr>
                <w:rFonts w:eastAsia="Calibri" w:cs="Arial" w:ascii="Arial" w:hAnsi="Arial" w:eastAsiaTheme="minorHAnsi"/>
                <w:b/>
                <w:sz w:val="22"/>
                <w:lang w:eastAsia="en-US"/>
              </w:rPr>
              <w:t>Требования к техническим, функциональным характеристикам (потребительским свойствам) продукции</w:t>
            </w:r>
          </w:p>
        </w:tc>
      </w:tr>
      <w:tr>
        <w:trPr/>
        <w:tc>
          <w:tcPr>
            <w:tcW w:w="290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i/>
                <w:i/>
                <w:lang w:eastAsia="en-US"/>
              </w:rPr>
            </w:pPr>
            <w:r>
              <w:rPr>
                <w:rFonts w:eastAsia="Calibri" w:cs="Arial" w:eastAsiaTheme="minorHAnsi" w:ascii="Arial" w:hAnsi="Arial"/>
                <w:i/>
                <w:lang w:eastAsia="en-US"/>
              </w:rPr>
            </w:r>
          </w:p>
        </w:tc>
        <w:tc>
          <w:tcPr>
            <w:tcW w:w="920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 xml:space="preserve">ДГУ и его компоненты должны  иметь все разрешительные документы для эксплуатации на территории Российской Федерации.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ДГУ  должен соответствовать следующим требованиям:</w:t>
            </w:r>
          </w:p>
          <w:tbl>
            <w:tblPr>
              <w:tblW w:w="5000" w:type="pct"/>
              <w:jc w:val="left"/>
              <w:tblInd w:w="0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val="04a0" w:noVBand="1" w:noHBand="0" w:lastColumn="0" w:firstColumn="1" w:lastRow="0" w:firstRow="1"/>
            </w:tblPr>
            <w:tblGrid>
              <w:gridCol w:w="3426"/>
              <w:gridCol w:w="746"/>
              <w:gridCol w:w="4810"/>
            </w:tblGrid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DBE5F1" w:themeFill="accent1" w:themeFillTint="33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rFonts w:ascii="Arial" w:hAnsi="Arial" w:cs="Arial"/>
                      <w:b/>
                      <w:b/>
                      <w:i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i/>
                      <w:color w:val="000000"/>
                      <w:sz w:val="16"/>
                      <w:szCs w:val="16"/>
                    </w:rPr>
                    <w:t>Наименование характеристик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DBE5F1" w:themeFill="accent1" w:themeFillTint="33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rFonts w:ascii="Arial" w:hAnsi="Arial" w:cs="Arial"/>
                      <w:b/>
                      <w:b/>
                      <w:i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i/>
                      <w:color w:val="000000"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DBE5F1" w:themeFill="accent1" w:themeFillTint="33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center"/>
                    <w:rPr>
                      <w:rFonts w:ascii="Arial" w:hAnsi="Arial" w:cs="Arial"/>
                      <w:b/>
                      <w:b/>
                      <w:i/>
                      <w:i/>
                      <w:color w:val="000000"/>
                      <w:sz w:val="16"/>
                      <w:szCs w:val="16"/>
                    </w:rPr>
                  </w:pPr>
                  <w:r>
                    <w:rPr>
                      <w:rFonts w:cs="Arial" w:ascii="Arial" w:hAnsi="Arial"/>
                      <w:b/>
                      <w:i/>
                      <w:color w:val="000000"/>
                      <w:sz w:val="16"/>
                      <w:szCs w:val="16"/>
                    </w:rPr>
                    <w:t>Значение параметров и функций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898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numPr>
                      <w:ilvl w:val="0"/>
                      <w:numId w:val="4"/>
                    </w:numPr>
                    <w:spacing w:lineRule="auto" w:line="240" w:before="0" w:after="0"/>
                    <w:ind w:left="0" w:hanging="360"/>
                    <w:contextualSpacing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Передвижная дизельная электростанция мощностью 20 кВт, на автомобильном прицепе под «Б» категорию.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Тип электростанции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передвижная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Номинальная мощность*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кВт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20 кВт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Климатические условия эксплуатации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от -40 до +40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Время автономной работы без дозаправки при 75% нагрузки, не менее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часов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8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Гарантия на дизель-генераторную установку, не менее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мес.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36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Комплект кабелей для подключения ДГУ</w:t>
                  </w:r>
                </w:p>
              </w:tc>
              <w:tc>
                <w:tcPr>
                  <w:tcW w:w="74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гибкие кабели с медными жилами, с резиновой изоляцией длинной не менее 15м, в оболочке, стойкой к окружающей среде, подготовленные к оперативному подключению к ДГУ и щиту ДГУ, укомплектованные силовыми разъемами рассчитанными на мощность 25 кВт, длиной в соответствии с согласованным АТР, не менее 15 м.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-силовой;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-собственных нужд;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-сигнальный;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-заземляющий.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Комплект поверенных средств защиты</w:t>
                  </w:r>
                </w:p>
              </w:tc>
              <w:tc>
                <w:tcPr>
                  <w:tcW w:w="74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указатель напряжения двухполюсный до 1 кВ-2шт;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перчатки диэлектрические-2 пары;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галоши диэлектрические- 2 пары;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ковер диэлектрический-1 шт;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- защитные очки -1шт; </w:t>
                  </w:r>
                </w:p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плакат «Стой! Напряжение» -2 шт;</w:t>
                  </w:r>
                </w:p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плакат «Не включать! Работают люди» - 2 шт;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Кабель-канал дорожный</w:t>
                  </w:r>
                </w:p>
              </w:tc>
              <w:tc>
                <w:tcPr>
                  <w:tcW w:w="74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длина в соответствии с согласованным АТР, но не менее 2,7 м;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- 3-х канальный;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нагрузка не менее 12 тонн;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цвет черный/жёлтый.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8982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000000" w:fill="FFFFFF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Двигатель: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Год выпуска, не ранее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  <w:lang w:val="en-US"/>
                    </w:rPr>
                    <w:t>20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Тип двигателя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Дизельный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  <w:lang w:val="en-US"/>
                    </w:rPr>
                    <w:t>/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4" w:space="0" w:color="00000A"/>
                    <w:right w:val="single" w:sz="8" w:space="0" w:color="00000A"/>
                    <w:insideH w:val="single" w:sz="4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Число тактов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Частота вращения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об/мин</w:t>
                  </w:r>
                </w:p>
              </w:tc>
              <w:tc>
                <w:tcPr>
                  <w:tcW w:w="4810" w:type="dxa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1500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Охлаждение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жидкостное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Регулятор оборотов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электронный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Тип запуска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стартерный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Максимальный расход топлива при 75% нагрузки, не более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л.</w:t>
                  </w:r>
                </w:p>
              </w:tc>
              <w:tc>
                <w:tcPr>
                  <w:tcW w:w="4810" w:type="dxa"/>
                  <w:tcBorders>
                    <w:top w:val="single" w:sz="8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4" w:space="0" w:color="00000A"/>
                    <w:right w:val="single" w:sz="8" w:space="0" w:color="00000A"/>
                    <w:insideH w:val="single" w:sz="4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Рабочий объем двигателя, не менее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л.</w:t>
                  </w:r>
                </w:p>
              </w:tc>
              <w:tc>
                <w:tcPr>
                  <w:tcW w:w="4810" w:type="dxa"/>
                  <w:tcBorders>
                    <w:top w:val="single" w:sz="8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8" w:space="0" w:color="00000A"/>
                    <w:insideH w:val="single" w:sz="4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Количество цилиндров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Электрический подогрев охлаждающей жидкости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Автономный подогреватель охлаждающей жидкости (дизельный)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Наличие (бинар- 5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 или гидроник 5кВт)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Подогрев топлива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Устройство автоматического заряда АКБ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наличие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8982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Генератор: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4" w:space="0" w:color="00000A"/>
                    <w:right w:val="single" w:sz="8" w:space="0" w:color="00000A"/>
                    <w:insideH w:val="single" w:sz="4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Год выпуска, не ранее</w:t>
                  </w:r>
                </w:p>
              </w:tc>
              <w:tc>
                <w:tcPr>
                  <w:tcW w:w="746" w:type="dxa"/>
                  <w:tcBorders>
                    <w:bottom w:val="single" w:sz="4" w:space="0" w:color="00000A"/>
                    <w:right w:val="single" w:sz="8" w:space="0" w:color="00000A"/>
                    <w:insideH w:val="single" w:sz="4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8" w:space="0" w:color="00000A"/>
                    <w:insideH w:val="single" w:sz="4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Тип генератора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bottom w:val="single" w:sz="4" w:space="0" w:color="00000A"/>
                    <w:right w:val="single" w:sz="8" w:space="0" w:color="00000A"/>
                    <w:insideH w:val="single" w:sz="4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синхронный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Число полюсов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Схема соединения обмоток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звезда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Класс изоляции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H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Род тока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переменный трехфазный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Режим нейтрали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Глухо заземленная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Номинальное напряжение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400/230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Номинальная частота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Гц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50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Номинальный коэффициент мощности, не менее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Степень защиты генератора, не ниже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IP23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Система возбуждения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независимая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Регулятор напряжения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электронный (AVR)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Стабилизация напряжения на выходе, не хуже %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"+/-" 1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КПД при 100% нагрузке, не менее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90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8982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Система выхлопных газов: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8982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Система управления и защиты: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Степень автоматизации по ГОСТ 33105-2014</w:t>
                  </w:r>
                </w:p>
              </w:tc>
              <w:tc>
                <w:tcPr>
                  <w:tcW w:w="746" w:type="dxa"/>
                  <w:tcBorders>
                    <w:top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2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Автоматический выключатель защиты 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 электронным реле расцепителя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Панель управления ДГУ</w:t>
                  </w:r>
                </w:p>
              </w:tc>
              <w:tc>
                <w:tcPr>
                  <w:tcW w:w="74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-цифровая система управления с ЖК дисплеем, с возможностью ручного и автоматического управления;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контроль параметров (состояние сети, состояние базовых параметров ДГУ, контроль уровня топлива) и защита систем дизельной электростанции;</w:t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4" w:space="0" w:color="00000A"/>
                    <w:insideH w:val="single" w:sz="8" w:space="0" w:color="000001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left w:val="single" w:sz="4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в комплекте зарядное устройство АКБ.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-силовой 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-собственных нужд;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-сигнальный;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-заземляющий.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8982" w:type="dxa"/>
                  <w:gridSpan w:val="3"/>
                  <w:tcBorders>
                    <w:top w:val="single" w:sz="4" w:space="0" w:color="00000A"/>
                    <w:left w:val="single" w:sz="8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Система выхлопных газов: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Требования к конструкции</w:t>
                  </w:r>
                </w:p>
              </w:tc>
              <w:tc>
                <w:tcPr>
                  <w:tcW w:w="746" w:type="dxa"/>
                  <w:vMerge w:val="restart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Газовыхлопной трубопровод оборудован устройством компенсации температурных расширений, сильфоном.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Конструкция исключает попадание в трубопроводы  атмосферных осадков .</w:t>
                  </w:r>
                </w:p>
              </w:tc>
            </w:tr>
            <w:tr>
              <w:trPr>
                <w:trHeight w:val="23" w:hRule="exact"/>
              </w:trPr>
              <w:tc>
                <w:tcPr>
                  <w:tcW w:w="342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vMerge w:val="continue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746" w:type="dxa"/>
                  <w:tcBorders>
                    <w:left w:val="single" w:sz="8" w:space="0" w:color="00000A"/>
                    <w:bottom w:val="single" w:sz="8" w:space="0" w:color="000001"/>
                    <w:right w:val="single" w:sz="8" w:space="0" w:color="00000A"/>
                    <w:insideH w:val="single" w:sz="8" w:space="0" w:color="000001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right w:val="single" w:sz="4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8982" w:type="dxa"/>
                  <w:gridSpan w:val="3"/>
                  <w:tcBorders>
                    <w:top w:val="single" w:sz="8" w:space="0" w:color="00000A"/>
                    <w:left w:val="single" w:sz="8" w:space="0" w:color="00000A"/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Прицеп с тентом  :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Тип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автомобильный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Количество 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шт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7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Количество осей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1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Тип подвески  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Рессорная 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тент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прямой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Габаритные размеры кузова   Д х Ш х В , не более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3620 х 1480 х 1050 мм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Габаритные размеры прицепа Д х   Ш  х В , не более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мм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4940 х 1970 х 2150мм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Масса перевозимого груза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565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Полная масса прицепа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750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Опорные стойки обеспечивают устойчивость прицепа во время эксплуатации энергоустановки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426" w:type="dxa"/>
                  <w:tcBorders>
                    <w:left w:val="single" w:sz="8" w:space="0" w:color="00000A"/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Комплектация</w:t>
                  </w:r>
                </w:p>
              </w:tc>
              <w:tc>
                <w:tcPr>
                  <w:tcW w:w="746" w:type="dxa"/>
                  <w:tcBorders>
                    <w:bottom w:val="single" w:sz="8" w:space="0" w:color="00000A"/>
                    <w:right w:val="single" w:sz="8" w:space="0" w:color="00000A"/>
                    <w:insideH w:val="single" w:sz="8" w:space="0" w:color="00000A"/>
                    <w:insideV w:val="single" w:sz="8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 </w:t>
                  </w: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4810" w:type="dxa"/>
                  <w:tcBorders>
                    <w:bottom w:val="single" w:sz="8" w:space="0" w:color="00000A"/>
                    <w:right w:val="single" w:sz="4" w:space="0" w:color="00000A"/>
                    <w:insideH w:val="single" w:sz="8" w:space="0" w:color="00000A"/>
                    <w:insideV w:val="single" w:sz="4" w:space="0" w:color="00000A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запасное колесо, противооткатные упоры, огнетушитель, страховочные цепи (тросы), опорная стойка дышла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8982" w:type="dxa"/>
                  <w:gridSpan w:val="3"/>
                  <w:tcBorders>
                    <w:top w:val="single" w:sz="4" w:space="0" w:color="00000A"/>
                    <w:left w:val="single" w:sz="8" w:space="0" w:color="00000A"/>
                    <w:bottom w:val="single" w:sz="4" w:space="0" w:color="00000A"/>
                    <w:right w:val="single" w:sz="4" w:space="0" w:color="00000A"/>
                    <w:insideH w:val="single" w:sz="4" w:space="0" w:color="00000A"/>
                    <w:insideV w:val="single" w:sz="4" w:space="0" w:color="00000A"/>
                  </w:tcBorders>
                  <w:shd w:color="auto" w:fill="auto" w:val="clear"/>
                  <w:tcMar>
                    <w:left w:w="98" w:type="dxa"/>
                  </w:tcMar>
                  <w:vAlign w:val="center"/>
                </w:tcPr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Документация:</w:t>
                  </w:r>
                </w:p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формуляр (паспорт) электростанции;</w:t>
                  </w:r>
                </w:p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- руководство по эксплуатации </w:t>
                  </w:r>
                </w:p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- ведомость комплекта ЗИП </w:t>
                  </w:r>
                </w:p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ведомость монтажных частей</w:t>
                  </w:r>
                </w:p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>- эксплуатационная документация основных комплектующих изделий</w:t>
                  </w:r>
                </w:p>
                <w:p>
                  <w:pPr>
                    <w:pStyle w:val="Normal"/>
                    <w:spacing w:lineRule="auto" w:line="240"/>
                    <w:jc w:val="both"/>
                    <w:rPr>
                      <w:rFonts w:ascii="Arial" w:hAnsi="Arial" w:cs="Arial"/>
                      <w:i/>
                      <w:i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 w:ascii="Arial" w:hAnsi="Arial"/>
                      <w:i/>
                      <w:color w:val="000000"/>
                      <w:sz w:val="18"/>
                      <w:szCs w:val="18"/>
                    </w:rPr>
                    <w:t xml:space="preserve">- паспорт транспортного средства (ПТС) – прицепа автомобильного и иные документы, выдаваемые его производителем. </w:t>
                  </w:r>
                </w:p>
              </w:tc>
            </w:tr>
          </w:tbl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i/>
                <w:i/>
                <w:lang w:eastAsia="en-US"/>
              </w:rPr>
            </w:pPr>
            <w:r>
              <w:rPr>
                <w:rFonts w:eastAsia="Calibri" w:cs="Arial" w:eastAsiaTheme="minorHAnsi" w:ascii="Arial" w:hAnsi="Arial"/>
                <w:i/>
                <w:lang w:eastAsia="en-US"/>
              </w:rPr>
            </w:r>
          </w:p>
        </w:tc>
      </w:tr>
    </w:tbl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sz w:val="22"/>
          <w:szCs w:val="22"/>
          <w:lang w:eastAsia="en-US"/>
        </w:rPr>
      </w:pPr>
      <w:r>
        <w:rPr>
          <w:rFonts w:eastAsia="Calibri" w:cs="" w:cstheme="minorBidi" w:eastAsiaTheme="minorHAnsi" w:ascii="Calibri" w:hAnsi="Calibri"/>
          <w:sz w:val="22"/>
          <w:szCs w:val="22"/>
          <w:lang w:eastAsia="en-US"/>
        </w:rPr>
      </w:r>
    </w:p>
    <w:tbl>
      <w:tblPr>
        <w:tblStyle w:val="25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83"/>
        <w:gridCol w:w="9452"/>
      </w:tblGrid>
      <w:tr>
        <w:trPr>
          <w:trHeight w:val="20" w:hRule="atLeast"/>
        </w:trPr>
        <w:tc>
          <w:tcPr>
            <w:tcW w:w="3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5</w:t>
            </w:r>
          </w:p>
        </w:tc>
        <w:tc>
          <w:tcPr>
            <w:tcW w:w="945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center" w:pos="4419" w:leader="none"/>
              </w:tabs>
              <w:spacing w:lineRule="auto" w:line="240" w:before="0" w:after="0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ab/>
              <w:t>Требования к упаковке, отгрузке, поставке товара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Поставщик обеспечивает доставку Товара в упаковке, соответствующей его стандарту. Упаковка должна обеспечивать полную сохранность Товара при транспортировке, погрузке, разгрузке и хранении. Поставщик несет ответственность перед Покупателем за повреждение или поломку Товара вследствие неполноценной или неправильной упаковки.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Поставщик доставляет Товар своими силами и за свой счет на адрес, указанный в Приложении № 1 к проекту Договора.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Поставка Товара должна быть произведена не ранее дня, предшествующего дате начала монтажных работ на Объекте.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Поставщик должен известить Покупателя о предстоящей отгрузке Товара со своего склада не менее чем за 3 (Три) рабочих дня до предполагаемой даты отгрузки и сообщить предполагаемое время (дату) доставки. </w:t>
            </w:r>
          </w:p>
          <w:p>
            <w:pPr>
              <w:pStyle w:val="Normal"/>
              <w:tabs>
                <w:tab w:val="center" w:pos="4419" w:leader="none"/>
              </w:tabs>
              <w:spacing w:lineRule="auto" w:line="240" w:before="0" w:after="0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cs="Arial" w:ascii="Arial" w:hAnsi="Arial"/>
                <w:color w:val="000000"/>
              </w:rPr>
              <w:t>Срок поставки Товара и выполнения Работ составляет  90 (девяносто) календарных дней с даты подписания Договора Сторонами.</w:t>
            </w:r>
          </w:p>
        </w:tc>
      </w:tr>
      <w:tr>
        <w:trPr>
          <w:trHeight w:val="20" w:hRule="atLeast"/>
        </w:trPr>
        <w:tc>
          <w:tcPr>
            <w:tcW w:w="3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6</w:t>
            </w:r>
          </w:p>
        </w:tc>
        <w:tc>
          <w:tcPr>
            <w:tcW w:w="945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Требования к безопасности, к качеству продукции, работ, услуг</w:t>
            </w:r>
          </w:p>
        </w:tc>
      </w:tr>
      <w:tr>
        <w:trPr>
          <w:trHeight w:val="20" w:hRule="atLeast"/>
        </w:trPr>
        <w:tc>
          <w:tcPr>
            <w:tcW w:w="3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  <w:tc>
          <w:tcPr>
            <w:tcW w:w="945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Поставщик гарантирует: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надлежащее качество Товара и его соответствие требованиям и стандартам, существующим в Российской Федерации для данного вида товара на момент поставки;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соответствие ассортимента и комплектности Товара Спецификации (Приложение № 1 к проекту Договора);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left" w:pos="284" w:leader="none"/>
              </w:tabs>
              <w:spacing w:lineRule="auto" w:line="240" w:before="0" w:after="0"/>
              <w:ind w:left="0" w:hanging="0"/>
              <w:jc w:val="both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 xml:space="preserve">надлежащее качество работ по доставке (выгрузке) Товара на Объекте </w:t>
            </w:r>
          </w:p>
          <w:p>
            <w:pPr>
              <w:pStyle w:val="Normal"/>
              <w:widowControl w:val="false"/>
              <w:tabs>
                <w:tab w:val="left" w:pos="0" w:leader="none"/>
                <w:tab w:val="left" w:pos="993" w:leader="none"/>
              </w:tabs>
              <w:spacing w:lineRule="auto" w:line="240" w:before="0" w:after="0"/>
              <w:jc w:val="both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</w:tr>
      <w:tr>
        <w:trPr>
          <w:trHeight w:val="20" w:hRule="atLeast"/>
        </w:trPr>
        <w:tc>
          <w:tcPr>
            <w:tcW w:w="3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7</w:t>
            </w:r>
          </w:p>
        </w:tc>
        <w:tc>
          <w:tcPr>
            <w:tcW w:w="945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Требования к результатам работ, услуг, к порядку сдачи и приемки</w:t>
            </w:r>
          </w:p>
        </w:tc>
      </w:tr>
      <w:tr>
        <w:trPr>
          <w:trHeight w:val="20" w:hRule="atLeast"/>
        </w:trPr>
        <w:tc>
          <w:tcPr>
            <w:tcW w:w="3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  <w:tc>
          <w:tcPr>
            <w:tcW w:w="945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В соответствии с Договором и законодательством Российской Федерации</w:t>
            </w:r>
          </w:p>
        </w:tc>
      </w:tr>
      <w:tr>
        <w:trPr>
          <w:trHeight w:val="20" w:hRule="atLeast"/>
        </w:trPr>
        <w:tc>
          <w:tcPr>
            <w:tcW w:w="3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  <w:tc>
          <w:tcPr>
            <w:tcW w:w="945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</w:r>
          </w:p>
        </w:tc>
      </w:tr>
      <w:tr>
        <w:trPr>
          <w:trHeight w:val="20" w:hRule="atLeast"/>
        </w:trPr>
        <w:tc>
          <w:tcPr>
            <w:tcW w:w="3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>8</w:t>
            </w:r>
          </w:p>
        </w:tc>
        <w:tc>
          <w:tcPr>
            <w:tcW w:w="945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tabs>
                <w:tab w:val="center" w:pos="4419" w:leader="none"/>
              </w:tabs>
              <w:spacing w:lineRule="auto" w:line="240" w:before="0" w:after="0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 w:eastAsiaTheme="minorHAnsi"/>
                <w:lang w:eastAsia="en-US"/>
              </w:rPr>
              <w:tab/>
              <w:t>Требования к объему и/или сроку предоставления гарантий</w:t>
            </w:r>
          </w:p>
        </w:tc>
      </w:tr>
      <w:tr>
        <w:trPr>
          <w:trHeight w:val="20" w:hRule="atLeast"/>
        </w:trPr>
        <w:tc>
          <w:tcPr>
            <w:tcW w:w="383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eastAsiaTheme="minorHAnsi" w:ascii="Arial" w:hAnsi="Arial"/>
                <w:lang w:eastAsia="en-US"/>
              </w:rPr>
            </w:r>
          </w:p>
        </w:tc>
        <w:tc>
          <w:tcPr>
            <w:tcW w:w="9452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  <w:insideH w:val="single" w:sz="4" w:space="0" w:color="548DD4"/>
              <w:insideV w:val="single" w:sz="4" w:space="0" w:color="548DD4"/>
            </w:tcBorders>
            <w:shd w:color="auto" w:fill="FFFFFF" w:themeFill="background1" w:val="clear"/>
            <w:tcMar>
              <w:left w:w="10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 w:cs="Arial" w:ascii="Arial" w:hAnsi="Arial"/>
                <w:lang w:eastAsia="en-US"/>
              </w:rPr>
              <w:t>Гарантийный срок на Товар устанавливается в соответствии с паспортами, выдаваемыми заводами-изготовителями, и должен составлять не менее:</w:t>
            </w:r>
          </w:p>
          <w:p>
            <w:pPr>
              <w:pStyle w:val="Normal"/>
              <w:spacing w:lineRule="auto" w:line="240" w:before="0" w:after="0"/>
              <w:ind w:firstLine="709"/>
              <w:contextualSpacing/>
              <w:jc w:val="both"/>
              <w:rPr>
                <w:rFonts w:ascii="Arial" w:hAnsi="Arial" w:eastAsia="Calibri" w:cs="Arial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- На передвижные дизельные электростанции (далее – ДГУ– 36 (тридцать шесть) месяцев с даты подписания Сторонами соответствующего Акта сдачи-приемки выполненных Работ;</w:t>
            </w:r>
          </w:p>
          <w:p>
            <w:pPr>
              <w:pStyle w:val="Normal"/>
              <w:spacing w:lineRule="auto" w:line="240" w:before="0" w:after="0"/>
              <w:ind w:firstLine="709"/>
              <w:contextualSpacing/>
              <w:jc w:val="both"/>
              <w:rPr>
                <w:rFonts w:ascii="Arial" w:hAnsi="Arial" w:eastAsia="Calibri" w:cs="Arial" w:eastAsiaTheme="minorHAnsi"/>
                <w:lang w:eastAsia="en-US"/>
              </w:rPr>
            </w:pPr>
            <w:r>
              <w:rPr>
                <w:rFonts w:eastAsia="Calibri" w:cs="Arial" w:ascii="Arial" w:hAnsi="Arial"/>
                <w:lang w:eastAsia="en-US"/>
              </w:rPr>
              <w:t>- На остальное оборудование и расходные материалы – 12 месяцев с даты соответствующего Акта сдачи-приемки выполненных Работ.</w:t>
            </w:r>
          </w:p>
        </w:tc>
      </w:tr>
    </w:tbl>
    <w:p>
      <w:pPr>
        <w:pStyle w:val="Normal"/>
        <w:pBdr/>
        <w:tabs>
          <w:tab w:val="left" w:pos="6551" w:leader="none"/>
        </w:tabs>
        <w:rPr>
          <w:rStyle w:val="Pagenumber"/>
          <w:sz w:val="19"/>
        </w:rPr>
      </w:pPr>
      <w:r>
        <w:rPr>
          <w:sz w:val="19"/>
        </w:rPr>
      </w:r>
    </w:p>
    <w:p>
      <w:pPr>
        <w:pStyle w:val="Style25"/>
        <w:rPr>
          <w:sz w:val="19"/>
        </w:rPr>
      </w:pPr>
      <w:r>
        <w:rPr>
          <w:sz w:val="19"/>
        </w:rPr>
      </w:r>
    </w:p>
    <w:p>
      <w:pPr>
        <w:pStyle w:val="Normal"/>
        <w:pBdr/>
        <w:rPr>
          <w:rStyle w:val="Pagenumber"/>
        </w:rPr>
      </w:pPr>
      <w:r>
        <w:rPr/>
      </w:r>
    </w:p>
    <w:p>
      <w:pPr>
        <w:pStyle w:val="Style27"/>
        <w:ind w:right="360" w:hanging="0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276" w:right="794" w:header="709" w:top="851" w:footer="0" w:bottom="794" w:gutter="0"/>
      <w:pgNumType w:start="1" w:fmt="decimal"/>
      <w:formProt w:val="false"/>
      <w:titlePg/>
      <w:textDirection w:val="lrTb"/>
      <w:docGrid w:type="default" w:linePitch="272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HeliosCond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center"/>
      <w:rPr>
        <w:sz w:val="8"/>
      </w:rPr>
    </w:pPr>
    <w:r>
      <w:rPr>
        <w:sz w:val="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decimal"/>
      <w:lvlText w:val="%5."/>
      <w:lvlJc w:val="left"/>
      <w:pPr>
        <w:ind w:left="1008" w:hanging="1008"/>
      </w:pPr>
      <w:rPr>
        <w:rFonts w:cs="Times New Roman"/>
      </w:rPr>
    </w:lvl>
    <w:lvl w:ilvl="5">
      <w:start w:val="1"/>
      <w:pStyle w:val="6"/>
      <w:numFmt w:val="decimal"/>
      <w:lvlText w:val="%5.%6."/>
      <w:lvlJc w:val="left"/>
      <w:pPr>
        <w:ind w:left="1152" w:hanging="1152"/>
      </w:pPr>
      <w:rPr>
        <w:rFonts w:cs="Times New Roman"/>
      </w:rPr>
    </w:lvl>
    <w:lvl w:ilvl="6">
      <w:start w:val="1"/>
      <w:pStyle w:val="7"/>
      <w:numFmt w:val="decimal"/>
      <w:lvlText w:val="%5.%6.%7."/>
      <w:lvlJc w:val="left"/>
      <w:pPr>
        <w:ind w:left="1296" w:hanging="1296"/>
      </w:pPr>
      <w:rPr>
        <w:rFonts w:cs="Times New Roman"/>
      </w:rPr>
    </w:lvl>
    <w:lvl w:ilvl="7">
      <w:start w:val="1"/>
      <w:pStyle w:val="8"/>
      <w:numFmt w:val="decimal"/>
      <w:lvlText w:val="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2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nhideWhenUsed="0" w:qFormat="1"/>
    <w:lsdException w:name="Emphasis" w:uiPriority="20" w:semiHidden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qFormat="1"/>
  </w:latentStyles>
  <w:style w:type="paragraph" w:styleId="Normal" w:default="1">
    <w:name w:val="Normal"/>
    <w:qFormat/>
    <w:rsid w:val="006b24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9"/>
    <w:qFormat/>
    <w:rsid w:val="006b245c"/>
    <w:pPr>
      <w:keepNext/>
      <w:keepLines/>
      <w:spacing w:lineRule="auto" w:line="276"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Normal"/>
    <w:link w:val="20"/>
    <w:qFormat/>
    <w:rsid w:val="006b245c"/>
    <w:pPr>
      <w:keepNext/>
      <w:keepLines/>
      <w:spacing w:lineRule="auto" w:line="276"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Normal"/>
    <w:link w:val="30"/>
    <w:uiPriority w:val="99"/>
    <w:qFormat/>
    <w:rsid w:val="006b245c"/>
    <w:pPr>
      <w:keepNext/>
      <w:keepLines/>
      <w:spacing w:lineRule="auto" w:line="276" w:before="200" w:after="0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Normal"/>
    <w:link w:val="40"/>
    <w:uiPriority w:val="99"/>
    <w:qFormat/>
    <w:rsid w:val="006b245c"/>
    <w:pPr>
      <w:keepNext/>
      <w:keepLines/>
      <w:spacing w:lineRule="auto" w:line="276" w:before="200" w:after="0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Normal"/>
    <w:link w:val="50"/>
    <w:uiPriority w:val="99"/>
    <w:qFormat/>
    <w:rsid w:val="006b245c"/>
    <w:pPr>
      <w:numPr>
        <w:ilvl w:val="4"/>
        <w:numId w:val="1"/>
      </w:numPr>
      <w:tabs>
        <w:tab w:val="left" w:pos="480" w:leader="none"/>
        <w:tab w:val="left" w:pos="1134" w:leader="none"/>
      </w:tabs>
      <w:spacing w:before="120" w:after="0"/>
      <w:ind w:left="1008" w:hanging="1008"/>
      <w:jc w:val="both"/>
      <w:outlineLvl w:val="4"/>
      <w:outlineLvl w:val="4"/>
    </w:pPr>
    <w:rPr>
      <w:rFonts w:ascii="Arial" w:hAnsi="Arial" w:cs="Arial"/>
      <w:color w:val="000000"/>
      <w:sz w:val="26"/>
      <w:szCs w:val="26"/>
    </w:rPr>
  </w:style>
  <w:style w:type="paragraph" w:styleId="6">
    <w:name w:val="Heading 6"/>
    <w:basedOn w:val="Normal"/>
    <w:link w:val="60"/>
    <w:uiPriority w:val="99"/>
    <w:qFormat/>
    <w:rsid w:val="006b245c"/>
    <w:pPr>
      <w:numPr>
        <w:ilvl w:val="5"/>
        <w:numId w:val="1"/>
      </w:numPr>
      <w:tabs>
        <w:tab w:val="left" w:pos="480" w:leader="none"/>
        <w:tab w:val="left" w:pos="1134" w:leader="none"/>
      </w:tabs>
      <w:spacing w:before="240" w:after="0"/>
      <w:ind w:left="1152" w:hanging="1152"/>
      <w:jc w:val="both"/>
      <w:outlineLvl w:val="5"/>
      <w:outlineLvl w:val="5"/>
    </w:pPr>
    <w:rPr>
      <w:rFonts w:ascii="Arial" w:hAnsi="Arial" w:cs="Arial"/>
      <w:i/>
      <w:color w:val="000000"/>
      <w:sz w:val="22"/>
      <w:szCs w:val="26"/>
    </w:rPr>
  </w:style>
  <w:style w:type="paragraph" w:styleId="7">
    <w:name w:val="Heading 7"/>
    <w:basedOn w:val="Normal"/>
    <w:link w:val="70"/>
    <w:uiPriority w:val="99"/>
    <w:qFormat/>
    <w:rsid w:val="006b245c"/>
    <w:pPr>
      <w:numPr>
        <w:ilvl w:val="6"/>
        <w:numId w:val="1"/>
      </w:numPr>
      <w:tabs>
        <w:tab w:val="left" w:pos="480" w:leader="none"/>
        <w:tab w:val="left" w:pos="1134" w:leader="none"/>
      </w:tabs>
      <w:spacing w:before="240" w:after="0"/>
      <w:ind w:left="1296" w:hanging="1296"/>
      <w:jc w:val="both"/>
      <w:outlineLvl w:val="6"/>
      <w:outlineLvl w:val="6"/>
    </w:pPr>
    <w:rPr>
      <w:rFonts w:ascii="Arial" w:hAnsi="Arial" w:cs="Arial"/>
      <w:color w:val="000000"/>
      <w:sz w:val="26"/>
      <w:szCs w:val="26"/>
    </w:rPr>
  </w:style>
  <w:style w:type="paragraph" w:styleId="8">
    <w:name w:val="Heading 8"/>
    <w:basedOn w:val="Normal"/>
    <w:link w:val="80"/>
    <w:uiPriority w:val="99"/>
    <w:qFormat/>
    <w:rsid w:val="006b245c"/>
    <w:pPr>
      <w:numPr>
        <w:ilvl w:val="7"/>
        <w:numId w:val="1"/>
      </w:numPr>
      <w:tabs>
        <w:tab w:val="left" w:pos="480" w:leader="none"/>
        <w:tab w:val="left" w:pos="1134" w:leader="none"/>
      </w:tabs>
      <w:spacing w:before="240" w:after="0"/>
      <w:ind w:left="1440" w:hanging="1440"/>
      <w:jc w:val="both"/>
      <w:outlineLvl w:val="7"/>
      <w:outlineLvl w:val="7"/>
    </w:pPr>
    <w:rPr>
      <w:rFonts w:ascii="Arial" w:hAnsi="Arial" w:cs="Arial"/>
      <w:i/>
      <w:color w:val="000000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6b245c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qFormat/>
    <w:rsid w:val="006b245c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9"/>
    <w:qFormat/>
    <w:rsid w:val="006b245c"/>
    <w:rPr>
      <w:rFonts w:ascii="Cambria" w:hAnsi="Cambria" w:eastAsia="Times New Roman" w:cs="Times New Roman"/>
      <w:b/>
      <w:bCs/>
      <w:color w:val="4F81BD"/>
    </w:rPr>
  </w:style>
  <w:style w:type="character" w:styleId="41" w:customStyle="1">
    <w:name w:val="Заголовок 4 Знак"/>
    <w:basedOn w:val="DefaultParagraphFont"/>
    <w:link w:val="4"/>
    <w:uiPriority w:val="99"/>
    <w:qFormat/>
    <w:rsid w:val="006b245c"/>
    <w:rPr>
      <w:rFonts w:ascii="Cambria" w:hAnsi="Cambria" w:eastAsia="Times New Roman" w:cs="Times New Roman"/>
      <w:b/>
      <w:bCs/>
      <w:i/>
      <w:iCs/>
      <w:color w:val="4F81BD"/>
    </w:rPr>
  </w:style>
  <w:style w:type="character" w:styleId="51" w:customStyle="1">
    <w:name w:val="Заголовок 5 Знак"/>
    <w:basedOn w:val="DefaultParagraphFont"/>
    <w:link w:val="5"/>
    <w:uiPriority w:val="99"/>
    <w:qFormat/>
    <w:rsid w:val="006b245c"/>
    <w:rPr>
      <w:rFonts w:ascii="Arial" w:hAnsi="Arial" w:eastAsia="Times New Roman" w:cs="Arial"/>
      <w:color w:val="000000"/>
      <w:sz w:val="26"/>
      <w:szCs w:val="26"/>
      <w:lang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rsid w:val="006b245c"/>
    <w:rPr>
      <w:rFonts w:ascii="Arial" w:hAnsi="Arial" w:eastAsia="Times New Roman" w:cs="Arial"/>
      <w:i/>
      <w:color w:val="000000"/>
      <w:szCs w:val="26"/>
      <w:lang w:eastAsia="ru-RU"/>
    </w:rPr>
  </w:style>
  <w:style w:type="character" w:styleId="71" w:customStyle="1">
    <w:name w:val="Заголовок 7 Знак"/>
    <w:basedOn w:val="DefaultParagraphFont"/>
    <w:link w:val="7"/>
    <w:uiPriority w:val="99"/>
    <w:qFormat/>
    <w:rsid w:val="006b245c"/>
    <w:rPr>
      <w:rFonts w:ascii="Arial" w:hAnsi="Arial" w:eastAsia="Times New Roman" w:cs="Arial"/>
      <w:color w:val="000000"/>
      <w:sz w:val="26"/>
      <w:szCs w:val="26"/>
      <w:lang w:eastAsia="ru-RU"/>
    </w:rPr>
  </w:style>
  <w:style w:type="character" w:styleId="81" w:customStyle="1">
    <w:name w:val="Заголовок 8 Знак"/>
    <w:basedOn w:val="DefaultParagraphFont"/>
    <w:link w:val="8"/>
    <w:uiPriority w:val="99"/>
    <w:qFormat/>
    <w:rsid w:val="006b245c"/>
    <w:rPr>
      <w:rFonts w:ascii="Arial" w:hAnsi="Arial" w:eastAsia="Times New Roman" w:cs="Arial"/>
      <w:i/>
      <w:color w:val="000000"/>
      <w:sz w:val="26"/>
      <w:szCs w:val="26"/>
      <w:lang w:eastAsia="ru-RU"/>
    </w:rPr>
  </w:style>
  <w:style w:type="character" w:styleId="Pagenumber">
    <w:name w:val="page number"/>
    <w:basedOn w:val="DefaultParagraphFont"/>
    <w:uiPriority w:val="99"/>
    <w:qFormat/>
    <w:rsid w:val="006b245c"/>
    <w:rPr>
      <w:rFonts w:cs="Times New Roman"/>
    </w:rPr>
  </w:style>
  <w:style w:type="character" w:styleId="Style6" w:customStyle="1">
    <w:name w:val="Верхний колонтитул Знак"/>
    <w:basedOn w:val="DefaultParagraphFont"/>
    <w:link w:val="a5"/>
    <w:uiPriority w:val="99"/>
    <w:qFormat/>
    <w:rsid w:val="006b24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7" w:customStyle="1">
    <w:name w:val="Основной текст с отступом Знак"/>
    <w:basedOn w:val="DefaultParagraphFont"/>
    <w:link w:val="a8"/>
    <w:uiPriority w:val="99"/>
    <w:qFormat/>
    <w:rsid w:val="006b245c"/>
    <w:rPr>
      <w:rFonts w:ascii="Times New Roman" w:hAnsi="Times New Roman" w:eastAsia="Times New Roman" w:cs="Times New Roman"/>
      <w:i/>
      <w:iCs/>
      <w:sz w:val="24"/>
      <w:szCs w:val="20"/>
      <w:lang w:eastAsia="ru-RU"/>
    </w:rPr>
  </w:style>
  <w:style w:type="character" w:styleId="32" w:customStyle="1">
    <w:name w:val="Основной текст с отступом 3 Знак"/>
    <w:basedOn w:val="DefaultParagraphFont"/>
    <w:link w:val="31"/>
    <w:uiPriority w:val="99"/>
    <w:qFormat/>
    <w:rsid w:val="006b245c"/>
    <w:rPr>
      <w:rFonts w:ascii="Times New Roman" w:hAnsi="Times New Roman" w:eastAsia="Times New Roman" w:cs="Times New Roman"/>
      <w:bCs/>
      <w:sz w:val="24"/>
      <w:szCs w:val="20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6b245c"/>
    <w:rPr>
      <w:rFonts w:ascii="Courier New" w:hAnsi="Courier New" w:eastAsia="Times New Roman" w:cs="Times New Roman"/>
      <w:sz w:val="20"/>
      <w:szCs w:val="20"/>
      <w:lang w:eastAsia="ru-RU"/>
    </w:rPr>
  </w:style>
  <w:style w:type="character" w:styleId="Style8" w:customStyle="1">
    <w:name w:val="Текст выноски Знак"/>
    <w:basedOn w:val="DefaultParagraphFont"/>
    <w:link w:val="ac"/>
    <w:uiPriority w:val="99"/>
    <w:semiHidden/>
    <w:qFormat/>
    <w:rsid w:val="006b245c"/>
    <w:rPr>
      <w:rFonts w:ascii="Tahoma" w:hAnsi="Tahoma" w:eastAsia="Times New Roman" w:cs="Tahoma"/>
      <w:sz w:val="16"/>
      <w:szCs w:val="16"/>
      <w:lang w:eastAsia="ru-RU"/>
    </w:rPr>
  </w:style>
  <w:style w:type="character" w:styleId="Style9" w:customStyle="1">
    <w:name w:val="Схема документа Знак"/>
    <w:basedOn w:val="DefaultParagraphFont"/>
    <w:link w:val="ae"/>
    <w:uiPriority w:val="99"/>
    <w:semiHidden/>
    <w:qFormat/>
    <w:rsid w:val="006b245c"/>
    <w:rPr>
      <w:rFonts w:ascii="Tahoma" w:hAnsi="Tahoma" w:eastAsia="Times New Roman" w:cs="Tahoma"/>
      <w:sz w:val="20"/>
      <w:szCs w:val="20"/>
      <w:shd w:fill="000080" w:val="clear"/>
      <w:lang w:eastAsia="ru-RU"/>
    </w:rPr>
  </w:style>
  <w:style w:type="character" w:styleId="Style10" w:customStyle="1">
    <w:name w:val="Нижний колонтитул Знак"/>
    <w:basedOn w:val="DefaultParagraphFont"/>
    <w:link w:val="af0"/>
    <w:uiPriority w:val="99"/>
    <w:qFormat/>
    <w:rsid w:val="006b24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HTMLTypewriter">
    <w:name w:val="HTML Typewriter"/>
    <w:basedOn w:val="DefaultParagraphFont"/>
    <w:uiPriority w:val="99"/>
    <w:qFormat/>
    <w:rsid w:val="006b245c"/>
    <w:rPr>
      <w:rFonts w:ascii="Courier New" w:hAnsi="Courier New" w:cs="Times New Roman"/>
      <w:sz w:val="20"/>
    </w:rPr>
  </w:style>
  <w:style w:type="character" w:styleId="Style11">
    <w:name w:val="Интернет-ссылка"/>
    <w:basedOn w:val="DefaultParagraphFont"/>
    <w:uiPriority w:val="99"/>
    <w:rsid w:val="006b245c"/>
    <w:rPr>
      <w:rFonts w:cs="Times New Roman"/>
      <w:color w:val="0000FF"/>
      <w:u w:val="single"/>
    </w:rPr>
  </w:style>
  <w:style w:type="character" w:styleId="Style12" w:customStyle="1">
    <w:name w:val="Текст Знак"/>
    <w:basedOn w:val="DefaultParagraphFont"/>
    <w:link w:val="af4"/>
    <w:uiPriority w:val="99"/>
    <w:qFormat/>
    <w:rsid w:val="006b245c"/>
    <w:rPr>
      <w:rFonts w:ascii="Calibri" w:hAnsi="Calibri" w:eastAsia="Times New Roman" w:cs="Times New Roman"/>
      <w:szCs w:val="21"/>
    </w:rPr>
  </w:style>
  <w:style w:type="character" w:styleId="Style13" w:customStyle="1">
    <w:name w:val="Основной текст Знак"/>
    <w:basedOn w:val="DefaultParagraphFont"/>
    <w:link w:val="af6"/>
    <w:qFormat/>
    <w:rsid w:val="006b24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TSTitulniylist" w:customStyle="1">
    <w:name w:val="TS_Titulniy_list Знак"/>
    <w:basedOn w:val="DefaultParagraphFont"/>
    <w:link w:val="TSTitulniylist0"/>
    <w:uiPriority w:val="99"/>
    <w:qFormat/>
    <w:locked/>
    <w:rsid w:val="006b245c"/>
    <w:rPr>
      <w:rFonts w:ascii="HeliosCond" w:hAnsi="HeliosCond" w:cs="Arial"/>
      <w:b/>
      <w:color w:val="44647F"/>
      <w:sz w:val="48"/>
      <w:szCs w:val="48"/>
    </w:rPr>
  </w:style>
  <w:style w:type="character" w:styleId="PhNormal1" w:customStyle="1">
    <w:name w:val="ph_Normal Знак1"/>
    <w:basedOn w:val="DefaultParagraphFont"/>
    <w:link w:val="phNormal"/>
    <w:uiPriority w:val="99"/>
    <w:qFormat/>
    <w:locked/>
    <w:rsid w:val="006b245c"/>
    <w:rPr>
      <w:sz w:val="24"/>
      <w:szCs w:val="24"/>
    </w:rPr>
  </w:style>
  <w:style w:type="character" w:styleId="Style14" w:customStyle="1">
    <w:name w:val="Подзаголовок Знак"/>
    <w:basedOn w:val="DefaultParagraphFont"/>
    <w:link w:val="af9"/>
    <w:uiPriority w:val="99"/>
    <w:qFormat/>
    <w:rsid w:val="006b245c"/>
    <w:rPr>
      <w:rFonts w:ascii="Times New Roman" w:hAnsi="Times New Roman" w:eastAsia="Times New Roman" w:cs="Times New Roman"/>
      <w:b/>
      <w:caps/>
      <w:sz w:val="24"/>
      <w:szCs w:val="24"/>
      <w:lang w:eastAsia="ru-RU"/>
    </w:rPr>
  </w:style>
  <w:style w:type="character" w:styleId="Annotationreference">
    <w:name w:val="annotation reference"/>
    <w:basedOn w:val="DefaultParagraphFont"/>
    <w:uiPriority w:val="99"/>
    <w:semiHidden/>
    <w:qFormat/>
    <w:rsid w:val="006b245c"/>
    <w:rPr>
      <w:rFonts w:cs="Times New Roman"/>
      <w:sz w:val="16"/>
    </w:rPr>
  </w:style>
  <w:style w:type="character" w:styleId="Style15" w:customStyle="1">
    <w:name w:val="Текст примечания Знак"/>
    <w:basedOn w:val="DefaultParagraphFont"/>
    <w:link w:val="aff"/>
    <w:uiPriority w:val="99"/>
    <w:semiHidden/>
    <w:qFormat/>
    <w:rsid w:val="006b24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6" w:customStyle="1">
    <w:name w:val="Тема примечания Знак"/>
    <w:basedOn w:val="Style15"/>
    <w:link w:val="aff1"/>
    <w:uiPriority w:val="99"/>
    <w:semiHidden/>
    <w:qFormat/>
    <w:rsid w:val="006b245c"/>
    <w:rPr>
      <w:rFonts w:ascii="Calibri" w:hAnsi="Calibri" w:eastAsia="Calibri" w:cs="Times New Roman"/>
      <w:b/>
      <w:bCs/>
      <w:sz w:val="20"/>
      <w:szCs w:val="20"/>
      <w:lang w:eastAsia="ru-RU"/>
    </w:rPr>
  </w:style>
  <w:style w:type="character" w:styleId="Calibri2" w:customStyle="1">
    <w:name w:val="Оглавление Calibri 2 Знак"/>
    <w:basedOn w:val="DefaultParagraphFont"/>
    <w:link w:val="Calibri2"/>
    <w:uiPriority w:val="99"/>
    <w:qFormat/>
    <w:locked/>
    <w:rsid w:val="006b245c"/>
    <w:rPr>
      <w:rFonts w:ascii="Calibri" w:hAnsi="Calibri" w:eastAsia="Times New Roman" w:cs="Times New Roman"/>
      <w:b/>
      <w:color w:val="365F91"/>
      <w:sz w:val="20"/>
      <w:szCs w:val="26"/>
    </w:rPr>
  </w:style>
  <w:style w:type="character" w:styleId="Style17" w:customStyle="1">
    <w:name w:val="Абзац списка Знак"/>
    <w:link w:val="aa"/>
    <w:uiPriority w:val="34"/>
    <w:qFormat/>
    <w:locked/>
    <w:rsid w:val="006b245c"/>
    <w:rPr>
      <w:rFonts w:ascii="Calibri" w:hAnsi="Calibri" w:eastAsia="Times New Roman" w:cs="Times New Roman"/>
    </w:rPr>
  </w:style>
  <w:style w:type="character" w:styleId="Strong">
    <w:name w:val="Strong"/>
    <w:basedOn w:val="DefaultParagraphFont"/>
    <w:uiPriority w:val="99"/>
    <w:qFormat/>
    <w:rsid w:val="006b245c"/>
    <w:rPr>
      <w:rFonts w:cs="Times New Roman"/>
      <w:b/>
      <w:bCs/>
    </w:rPr>
  </w:style>
  <w:style w:type="character" w:styleId="12" w:customStyle="1">
    <w:name w:val="Основной текст Знак1"/>
    <w:qFormat/>
    <w:rsid w:val="006b245c"/>
    <w:rPr>
      <w:rFonts w:ascii="Times New Roman" w:hAnsi="Times New Roman" w:eastAsia="Times New Roman"/>
      <w:sz w:val="24"/>
      <w:szCs w:val="24"/>
    </w:rPr>
  </w:style>
  <w:style w:type="character" w:styleId="Style18" w:customStyle="1">
    <w:name w:val="Название Знак"/>
    <w:basedOn w:val="DefaultParagraphFont"/>
    <w:link w:val="aff6"/>
    <w:qFormat/>
    <w:rsid w:val="006b245c"/>
    <w:rPr>
      <w:rFonts w:ascii="Cambria" w:hAnsi="Cambria" w:eastAsia="Times New Roman" w:cs="Times New Roman"/>
      <w:b/>
      <w:bCs/>
      <w:sz w:val="32"/>
      <w:szCs w:val="32"/>
      <w:lang w:eastAsia="ru-RU"/>
    </w:rPr>
  </w:style>
  <w:style w:type="character" w:styleId="Style19" w:customStyle="1">
    <w:name w:val="Текст сноски Знак"/>
    <w:basedOn w:val="DefaultParagraphFont"/>
    <w:link w:val="aff8"/>
    <w:uiPriority w:val="99"/>
    <w:qFormat/>
    <w:rsid w:val="006b245c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6b245c"/>
    <w:rPr>
      <w:rFonts w:cs="Times New Roman"/>
      <w:vertAlign w:val="superscript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  <w:b/>
    </w:rPr>
  </w:style>
  <w:style w:type="character" w:styleId="ListLabel9">
    <w:name w:val="ListLabel 9"/>
    <w:qFormat/>
    <w:rPr>
      <w:rFonts w:cs="Times New Roman"/>
      <w:b w:val="false"/>
    </w:rPr>
  </w:style>
  <w:style w:type="character" w:styleId="ListLabel10">
    <w:name w:val="ListLabel 10"/>
    <w:qFormat/>
    <w:rPr>
      <w:rFonts w:cs="Times New Roman"/>
      <w:b w:val="false"/>
      <w:i w:val="false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eastAsia="Times New Roman" w:cs="Times New Roman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Times New Roman"/>
    </w:rPr>
  </w:style>
  <w:style w:type="character" w:styleId="ListLabel33">
    <w:name w:val="ListLabel 33"/>
    <w:qFormat/>
    <w:rPr>
      <w:rFonts w:cs="Times New Roman"/>
    </w:rPr>
  </w:style>
  <w:style w:type="character" w:styleId="ListLabel34">
    <w:name w:val="ListLabel 34"/>
    <w:qFormat/>
    <w:rPr>
      <w:rFonts w:cs="Times New Roman"/>
    </w:rPr>
  </w:style>
  <w:style w:type="character" w:styleId="ListLabel35">
    <w:name w:val="ListLabel 35"/>
    <w:qFormat/>
    <w:rPr>
      <w:rFonts w:cs="Times New Roman"/>
    </w:rPr>
  </w:style>
  <w:style w:type="character" w:styleId="ListLabel36">
    <w:name w:val="ListLabel 36"/>
    <w:qFormat/>
    <w:rPr>
      <w:rFonts w:cs="Times New Roman"/>
    </w:rPr>
  </w:style>
  <w:style w:type="character" w:styleId="ListLabel37">
    <w:name w:val="ListLabel 37"/>
    <w:qFormat/>
    <w:rPr>
      <w:rFonts w:cs="Times New Roman"/>
    </w:rPr>
  </w:style>
  <w:style w:type="character" w:styleId="ListLabel38">
    <w:name w:val="ListLabel 38"/>
    <w:qFormat/>
    <w:rPr>
      <w:rFonts w:cs="Times New Roman"/>
    </w:rPr>
  </w:style>
  <w:style w:type="character" w:styleId="ListLabel39">
    <w:name w:val="ListLabel 39"/>
    <w:qFormat/>
    <w:rPr>
      <w:rFonts w:cs="Arial"/>
      <w:sz w:val="20"/>
      <w:szCs w:val="20"/>
    </w:rPr>
  </w:style>
  <w:style w:type="character" w:styleId="ListLabel40">
    <w:name w:val="ListLabel 40"/>
    <w:qFormat/>
    <w:rPr>
      <w:b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/>
    </w:rPr>
  </w:style>
  <w:style w:type="character" w:styleId="ListLabel43">
    <w:name w:val="ListLabel 43"/>
    <w:qFormat/>
    <w:rPr>
      <w:b/>
    </w:rPr>
  </w:style>
  <w:style w:type="character" w:styleId="ListLabel44">
    <w:name w:val="ListLabel 44"/>
    <w:qFormat/>
    <w:rPr>
      <w:b/>
    </w:rPr>
  </w:style>
  <w:style w:type="character" w:styleId="ListLabel45">
    <w:name w:val="ListLabel 45"/>
    <w:qFormat/>
    <w:rPr>
      <w:b/>
    </w:rPr>
  </w:style>
  <w:style w:type="character" w:styleId="ListLabel46">
    <w:name w:val="ListLabel 46"/>
    <w:qFormat/>
    <w:rPr>
      <w:b/>
    </w:rPr>
  </w:style>
  <w:style w:type="character" w:styleId="ListLabel47">
    <w:name w:val="ListLabel 47"/>
    <w:qFormat/>
    <w:rPr>
      <w:b/>
    </w:rPr>
  </w:style>
  <w:style w:type="character" w:styleId="ListLabel48">
    <w:name w:val="ListLabel 48"/>
    <w:qFormat/>
    <w:rPr>
      <w:b/>
    </w:rPr>
  </w:style>
  <w:style w:type="character" w:styleId="ListLabel49">
    <w:name w:val="ListLabel 49"/>
    <w:qFormat/>
    <w:rPr>
      <w:b w:val="false"/>
    </w:rPr>
  </w:style>
  <w:style w:type="character" w:styleId="ListLabel50">
    <w:name w:val="ListLabel 50"/>
    <w:qFormat/>
    <w:rPr>
      <w:b w:val="false"/>
    </w:rPr>
  </w:style>
  <w:style w:type="character" w:styleId="ListLabel51">
    <w:name w:val="ListLabel 51"/>
    <w:qFormat/>
    <w:rPr>
      <w:b/>
    </w:rPr>
  </w:style>
  <w:style w:type="character" w:styleId="ListLabel52">
    <w:name w:val="ListLabel 52"/>
    <w:qFormat/>
    <w:rPr>
      <w:b/>
    </w:rPr>
  </w:style>
  <w:style w:type="character" w:styleId="ListLabel53">
    <w:name w:val="ListLabel 53"/>
    <w:qFormat/>
    <w:rPr>
      <w:b/>
    </w:rPr>
  </w:style>
  <w:style w:type="character" w:styleId="ListLabel54">
    <w:name w:val="ListLabel 54"/>
    <w:qFormat/>
    <w:rPr>
      <w:b/>
    </w:rPr>
  </w:style>
  <w:style w:type="character" w:styleId="ListLabel55">
    <w:name w:val="ListLabel 55"/>
    <w:qFormat/>
    <w:rPr>
      <w:b/>
    </w:rPr>
  </w:style>
  <w:style w:type="character" w:styleId="ListLabel56">
    <w:name w:val="ListLabel 56"/>
    <w:qFormat/>
    <w:rPr>
      <w:b/>
    </w:rPr>
  </w:style>
  <w:style w:type="character" w:styleId="ListLabel57">
    <w:name w:val="ListLabel 57"/>
    <w:qFormat/>
    <w:rPr>
      <w:rFonts w:eastAsia="Calibri"/>
    </w:rPr>
  </w:style>
  <w:style w:type="character" w:styleId="ListLabel58">
    <w:name w:val="ListLabel 58"/>
    <w:qFormat/>
    <w:rPr>
      <w:rFonts w:eastAsia="Calibri"/>
    </w:rPr>
  </w:style>
  <w:style w:type="character" w:styleId="ListLabel59">
    <w:name w:val="ListLabel 59"/>
    <w:qFormat/>
    <w:rPr>
      <w:rFonts w:cs="Times New Roman"/>
      <w:b/>
      <w:i w:val="false"/>
    </w:rPr>
  </w:style>
  <w:style w:type="character" w:styleId="ListLabel60">
    <w:name w:val="ListLabel 60"/>
    <w:qFormat/>
    <w:rPr>
      <w:rFonts w:cs="Times New Roman"/>
    </w:rPr>
  </w:style>
  <w:style w:type="character" w:styleId="ListLabel61">
    <w:name w:val="ListLabel 61"/>
    <w:qFormat/>
    <w:rPr>
      <w:rFonts w:cs="Arial"/>
      <w:i w:val="false"/>
      <w:strike w:val="false"/>
      <w:dstrike w:val="false"/>
      <w:color w:val="00000A"/>
    </w:rPr>
  </w:style>
  <w:style w:type="character" w:styleId="ListLabel62">
    <w:name w:val="ListLabel 62"/>
    <w:qFormat/>
    <w:rPr>
      <w:rFonts w:cs="Times New Roman"/>
    </w:rPr>
  </w:style>
  <w:style w:type="character" w:styleId="ListLabel63">
    <w:name w:val="ListLabel 63"/>
    <w:qFormat/>
    <w:rPr>
      <w:rFonts w:cs="Times New Roman"/>
    </w:rPr>
  </w:style>
  <w:style w:type="character" w:styleId="ListLabel64">
    <w:name w:val="ListLabel 64"/>
    <w:qFormat/>
    <w:rPr>
      <w:rFonts w:cs="Times New Roman"/>
    </w:rPr>
  </w:style>
  <w:style w:type="character" w:styleId="ListLabel65">
    <w:name w:val="ListLabel 65"/>
    <w:qFormat/>
    <w:rPr>
      <w:rFonts w:cs="Times New Roman"/>
    </w:rPr>
  </w:style>
  <w:style w:type="character" w:styleId="ListLabel66">
    <w:name w:val="ListLabel 66"/>
    <w:qFormat/>
    <w:rPr>
      <w:rFonts w:cs="Times New Roman"/>
    </w:rPr>
  </w:style>
  <w:style w:type="character" w:styleId="ListLabel67">
    <w:name w:val="ListLabel 67"/>
    <w:qFormat/>
    <w:rPr>
      <w:rFonts w:cs="Times New Roman"/>
    </w:rPr>
  </w:style>
  <w:style w:type="paragraph" w:styleId="Style20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21">
    <w:name w:val="Body Text"/>
    <w:basedOn w:val="Normal"/>
    <w:link w:val="af7"/>
    <w:unhideWhenUsed/>
    <w:rsid w:val="006b245c"/>
    <w:pPr>
      <w:spacing w:before="0" w:after="120"/>
    </w:pPr>
    <w:rPr/>
  </w:style>
  <w:style w:type="paragraph" w:styleId="Style22">
    <w:name w:val="List"/>
    <w:basedOn w:val="Normal"/>
    <w:uiPriority w:val="99"/>
    <w:rsid w:val="006b245c"/>
    <w:pPr>
      <w:ind w:left="283" w:hanging="283"/>
    </w:pPr>
    <w:rPr>
      <w:lang w:val="en-U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FreeSans"/>
    </w:rPr>
  </w:style>
  <w:style w:type="paragraph" w:styleId="Style25">
    <w:name w:val="Header"/>
    <w:basedOn w:val="Normal"/>
    <w:link w:val="a6"/>
    <w:uiPriority w:val="99"/>
    <w:rsid w:val="006b245c"/>
    <w:pPr>
      <w:tabs>
        <w:tab w:val="center" w:pos="4703" w:leader="none"/>
        <w:tab w:val="right" w:pos="9406" w:leader="none"/>
      </w:tabs>
    </w:pPr>
    <w:rPr/>
  </w:style>
  <w:style w:type="paragraph" w:styleId="NormalWeb">
    <w:name w:val="Normal (Web)"/>
    <w:basedOn w:val="Normal"/>
    <w:qFormat/>
    <w:rsid w:val="006b245c"/>
    <w:pPr>
      <w:spacing w:beforeAutospacing="1" w:afterAutospacing="1"/>
    </w:pPr>
    <w:rPr>
      <w:rFonts w:ascii="Tahoma" w:hAnsi="Tahoma" w:cs="Tahoma"/>
    </w:rPr>
  </w:style>
  <w:style w:type="paragraph" w:styleId="Style26">
    <w:name w:val="Body Text Indent"/>
    <w:basedOn w:val="Normal"/>
    <w:link w:val="a9"/>
    <w:uiPriority w:val="99"/>
    <w:rsid w:val="006b245c"/>
    <w:pPr>
      <w:widowControl w:val="false"/>
      <w:ind w:firstLine="720"/>
      <w:jc w:val="both"/>
    </w:pPr>
    <w:rPr>
      <w:i/>
      <w:iCs/>
      <w:sz w:val="24"/>
    </w:rPr>
  </w:style>
  <w:style w:type="paragraph" w:styleId="BodyTextIndent3">
    <w:name w:val="Body Text Indent 3"/>
    <w:basedOn w:val="Normal"/>
    <w:link w:val="32"/>
    <w:uiPriority w:val="99"/>
    <w:qFormat/>
    <w:rsid w:val="006b245c"/>
    <w:pPr>
      <w:ind w:firstLine="708"/>
      <w:jc w:val="both"/>
    </w:pPr>
    <w:rPr>
      <w:bCs/>
      <w:sz w:val="24"/>
    </w:rPr>
  </w:style>
  <w:style w:type="paragraph" w:styleId="HTMLPreformatted">
    <w:name w:val="HTML Preformatted"/>
    <w:basedOn w:val="Normal"/>
    <w:link w:val="HTML0"/>
    <w:uiPriority w:val="99"/>
    <w:qFormat/>
    <w:rsid w:val="006b245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</w:rPr>
  </w:style>
  <w:style w:type="paragraph" w:styleId="13" w:customStyle="1">
    <w:name w:val="Обычный1"/>
    <w:uiPriority w:val="99"/>
    <w:qFormat/>
    <w:rsid w:val="006b245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0"/>
      <w:szCs w:val="20"/>
      <w:lang w:eastAsia="ru-RU" w:val="ru-RU" w:bidi="ar-SA"/>
    </w:rPr>
  </w:style>
  <w:style w:type="paragraph" w:styleId="ListParagraph">
    <w:name w:val="List Paragraph"/>
    <w:basedOn w:val="Normal"/>
    <w:link w:val="ab"/>
    <w:uiPriority w:val="34"/>
    <w:qFormat/>
    <w:rsid w:val="006b245c"/>
    <w:pPr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d"/>
    <w:uiPriority w:val="99"/>
    <w:semiHidden/>
    <w:qFormat/>
    <w:rsid w:val="006b245c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uiPriority w:val="99"/>
    <w:qFormat/>
    <w:rsid w:val="006b245c"/>
    <w:pPr>
      <w:widowControl w:val="false"/>
      <w:bidi w:val="0"/>
      <w:spacing w:lineRule="auto" w:line="240" w:before="0" w:after="0"/>
      <w:ind w:firstLine="720"/>
      <w:jc w:val="center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DocumentMap">
    <w:name w:val="Document Map"/>
    <w:basedOn w:val="Normal"/>
    <w:link w:val="af"/>
    <w:uiPriority w:val="99"/>
    <w:semiHidden/>
    <w:qFormat/>
    <w:rsid w:val="006b245c"/>
    <w:pPr>
      <w:shd w:val="clear" w:color="auto" w:fill="000080"/>
    </w:pPr>
    <w:rPr>
      <w:rFonts w:ascii="Tahoma" w:hAnsi="Tahoma" w:cs="Tahoma"/>
    </w:rPr>
  </w:style>
  <w:style w:type="paragraph" w:styleId="Style27">
    <w:name w:val="Footer"/>
    <w:basedOn w:val="Normal"/>
    <w:link w:val="af1"/>
    <w:uiPriority w:val="99"/>
    <w:rsid w:val="006b245c"/>
    <w:pPr>
      <w:tabs>
        <w:tab w:val="center" w:pos="4677" w:leader="none"/>
        <w:tab w:val="right" w:pos="9355" w:leader="none"/>
      </w:tabs>
    </w:pPr>
    <w:rPr/>
  </w:style>
  <w:style w:type="paragraph" w:styleId="211" w:customStyle="1">
    <w:name w:val="Продолжение списка 21"/>
    <w:basedOn w:val="Normal"/>
    <w:uiPriority w:val="99"/>
    <w:qFormat/>
    <w:rsid w:val="006b245c"/>
    <w:pPr>
      <w:suppressAutoHyphens w:val="true"/>
      <w:spacing w:before="0" w:after="120"/>
      <w:ind w:left="566" w:hanging="0"/>
    </w:pPr>
    <w:rPr>
      <w:rFonts w:ascii="Arial" w:hAnsi="Arial"/>
      <w:lang w:eastAsia="ar-SA"/>
    </w:rPr>
  </w:style>
  <w:style w:type="paragraph" w:styleId="111" w:customStyle="1">
    <w:name w:val="Обычный11"/>
    <w:uiPriority w:val="99"/>
    <w:qFormat/>
    <w:rsid w:val="006b245c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6b245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eastAsia="ru-RU" w:val="ru-RU" w:bidi="ar-SA"/>
    </w:rPr>
  </w:style>
  <w:style w:type="paragraph" w:styleId="PlainText">
    <w:name w:val="Plain Text"/>
    <w:basedOn w:val="Normal"/>
    <w:link w:val="af5"/>
    <w:uiPriority w:val="99"/>
    <w:qFormat/>
    <w:rsid w:val="006b245c"/>
    <w:pPr/>
    <w:rPr>
      <w:rFonts w:ascii="Calibri" w:hAnsi="Calibri"/>
      <w:sz w:val="22"/>
      <w:szCs w:val="21"/>
      <w:lang w:eastAsia="en-US"/>
    </w:rPr>
  </w:style>
  <w:style w:type="paragraph" w:styleId="Normal2" w:customStyle="1">
    <w:name w:val="Normal 2"/>
    <w:basedOn w:val="Normal"/>
    <w:qFormat/>
    <w:rsid w:val="006b245c"/>
    <w:pPr>
      <w:tabs>
        <w:tab w:val="left" w:pos="360" w:leader="none"/>
      </w:tabs>
      <w:ind w:left="1080" w:hanging="576"/>
      <w:jc w:val="both"/>
    </w:pPr>
    <w:rPr>
      <w:rFonts w:ascii="Arial" w:hAnsi="Arial"/>
      <w:sz w:val="16"/>
      <w:lang w:eastAsia="en-US"/>
    </w:rPr>
  </w:style>
  <w:style w:type="paragraph" w:styleId="ListNumber">
    <w:name w:val="List Number"/>
    <w:basedOn w:val="Normal"/>
    <w:uiPriority w:val="99"/>
    <w:unhideWhenUsed/>
    <w:qFormat/>
    <w:rsid w:val="006b245c"/>
    <w:pPr>
      <w:spacing w:before="0" w:after="0"/>
      <w:contextualSpacing/>
    </w:pPr>
    <w:rPr/>
  </w:style>
  <w:style w:type="paragraph" w:styleId="TSTitulniylist1" w:customStyle="1">
    <w:name w:val="TS_Titulniy_list"/>
    <w:basedOn w:val="Normal"/>
    <w:link w:val="TSTitulniylist"/>
    <w:uiPriority w:val="99"/>
    <w:qFormat/>
    <w:rsid w:val="006b245c"/>
    <w:pPr>
      <w:keepNext/>
      <w:keepLines/>
      <w:suppressAutoHyphens w:val="true"/>
      <w:spacing w:before="60" w:after="60"/>
      <w:ind w:left="-142" w:right="-143" w:hanging="0"/>
      <w:jc w:val="center"/>
    </w:pPr>
    <w:rPr>
      <w:rFonts w:ascii="HeliosCond" w:hAnsi="HeliosCond" w:eastAsia="Calibri" w:cs="Arial" w:eastAsiaTheme="minorHAnsi"/>
      <w:b/>
      <w:color w:val="44647F"/>
      <w:sz w:val="48"/>
      <w:szCs w:val="48"/>
      <w:lang w:eastAsia="en-US"/>
    </w:rPr>
  </w:style>
  <w:style w:type="paragraph" w:styleId="PhNormal" w:customStyle="1">
    <w:name w:val="ph_Normal"/>
    <w:basedOn w:val="Normal"/>
    <w:link w:val="phNormal1"/>
    <w:uiPriority w:val="99"/>
    <w:qFormat/>
    <w:rsid w:val="006b245c"/>
    <w:pPr>
      <w:spacing w:lineRule="auto" w:line="360"/>
      <w:ind w:firstLine="851"/>
      <w:jc w:val="both"/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eastAsia="en-US"/>
    </w:rPr>
  </w:style>
  <w:style w:type="paragraph" w:styleId="PhConfirm" w:customStyle="1">
    <w:name w:val="ph_Confirm"/>
    <w:basedOn w:val="PhNormal"/>
    <w:uiPriority w:val="99"/>
    <w:qFormat/>
    <w:rsid w:val="006b245c"/>
    <w:pPr>
      <w:ind w:left="567" w:firstLine="709"/>
      <w:jc w:val="left"/>
    </w:pPr>
    <w:rPr>
      <w:b/>
      <w:caps/>
    </w:rPr>
  </w:style>
  <w:style w:type="paragraph" w:styleId="14">
    <w:name w:val="TOC 1"/>
    <w:basedOn w:val="Normal"/>
    <w:uiPriority w:val="39"/>
    <w:rsid w:val="006b245c"/>
    <w:pPr>
      <w:keepNext/>
      <w:keepLines/>
      <w:tabs>
        <w:tab w:val="right" w:pos="9639" w:leader="none"/>
      </w:tabs>
      <w:spacing w:before="0" w:after="120"/>
    </w:pPr>
    <w:rPr>
      <w:caps/>
      <w:sz w:val="24"/>
      <w:szCs w:val="52"/>
    </w:rPr>
  </w:style>
  <w:style w:type="paragraph" w:styleId="22">
    <w:name w:val="TOC 2"/>
    <w:basedOn w:val="Normal"/>
    <w:uiPriority w:val="39"/>
    <w:rsid w:val="006b245c"/>
    <w:pPr>
      <w:keepLines/>
      <w:tabs>
        <w:tab w:val="right" w:pos="9639" w:leader="none"/>
      </w:tabs>
      <w:spacing w:before="0" w:after="120"/>
      <w:ind w:left="284" w:hanging="0"/>
    </w:pPr>
    <w:rPr>
      <w:caps/>
      <w:sz w:val="24"/>
      <w:szCs w:val="44"/>
    </w:rPr>
  </w:style>
  <w:style w:type="paragraph" w:styleId="33">
    <w:name w:val="TOC 3"/>
    <w:basedOn w:val="Normal"/>
    <w:uiPriority w:val="39"/>
    <w:rsid w:val="006b245c"/>
    <w:pPr>
      <w:keepLines/>
      <w:tabs>
        <w:tab w:val="right" w:pos="9639" w:leader="none"/>
      </w:tabs>
      <w:spacing w:before="0" w:after="120"/>
      <w:ind w:left="567" w:hanging="0"/>
    </w:pPr>
    <w:rPr>
      <w:sz w:val="24"/>
      <w:szCs w:val="38"/>
    </w:rPr>
  </w:style>
  <w:style w:type="paragraph" w:styleId="42">
    <w:name w:val="TOC 4"/>
    <w:basedOn w:val="Normal"/>
    <w:uiPriority w:val="99"/>
    <w:rsid w:val="006b245c"/>
    <w:pPr>
      <w:keepLines/>
      <w:tabs>
        <w:tab w:val="right" w:pos="9639" w:leader="none"/>
      </w:tabs>
      <w:spacing w:before="0" w:after="120"/>
      <w:ind w:left="851" w:hanging="0"/>
    </w:pPr>
    <w:rPr>
      <w:sz w:val="24"/>
      <w:szCs w:val="24"/>
    </w:rPr>
  </w:style>
  <w:style w:type="paragraph" w:styleId="52">
    <w:name w:val="TOC 5"/>
    <w:basedOn w:val="Normal"/>
    <w:uiPriority w:val="99"/>
    <w:rsid w:val="006b245c"/>
    <w:pPr>
      <w:keepLines/>
      <w:tabs>
        <w:tab w:val="right" w:pos="9639" w:leader="none"/>
      </w:tabs>
      <w:spacing w:before="0" w:after="120"/>
      <w:ind w:left="1134" w:hanging="0"/>
    </w:pPr>
    <w:rPr>
      <w:sz w:val="24"/>
      <w:szCs w:val="24"/>
    </w:rPr>
  </w:style>
  <w:style w:type="paragraph" w:styleId="Style28">
    <w:name w:val="Subtitle"/>
    <w:basedOn w:val="Normal"/>
    <w:link w:val="afa"/>
    <w:uiPriority w:val="99"/>
    <w:qFormat/>
    <w:rsid w:val="006b245c"/>
    <w:pPr>
      <w:keepNext/>
      <w:keepLines/>
      <w:pageBreakBefore/>
      <w:suppressAutoHyphens w:val="true"/>
      <w:spacing w:before="600" w:after="360"/>
      <w:ind w:left="851" w:hanging="0"/>
      <w:jc w:val="center"/>
      <w:outlineLvl w:val="0"/>
    </w:pPr>
    <w:rPr>
      <w:b/>
      <w:caps/>
      <w:sz w:val="24"/>
      <w:szCs w:val="24"/>
    </w:rPr>
  </w:style>
  <w:style w:type="paragraph" w:styleId="Style29" w:customStyle="1">
    <w:name w:val="Шапка таблицы"/>
    <w:uiPriority w:val="99"/>
    <w:qFormat/>
    <w:rsid w:val="006b245c"/>
    <w:pPr>
      <w:keepNext/>
      <w:widowControl w:val="false"/>
      <w:spacing w:before="60" w:after="0"/>
    </w:pPr>
    <w:rPr>
      <w:rFonts w:ascii="Calibri" w:hAnsi="Calibri" w:eastAsia="Calibri" w:cs="" w:asciiTheme="minorHAnsi" w:cstheme="minorBidi" w:eastAsiaTheme="minorHAnsi" w:hAnsiTheme="minorHAnsi"/>
      <w:b/>
      <w:color w:val="auto"/>
      <w:sz w:val="20"/>
      <w:szCs w:val="22"/>
      <w:lang w:val="ru-RU" w:eastAsia="en-US" w:bidi="ar-SA"/>
    </w:rPr>
  </w:style>
  <w:style w:type="paragraph" w:styleId="Style30" w:customStyle="1">
    <w:name w:val="Обычный (тбл)"/>
    <w:basedOn w:val="Normal"/>
    <w:uiPriority w:val="99"/>
    <w:qFormat/>
    <w:rsid w:val="006b245c"/>
    <w:pPr>
      <w:spacing w:before="40" w:after="120"/>
    </w:pPr>
    <w:rPr>
      <w:bCs/>
      <w:sz w:val="22"/>
      <w:szCs w:val="18"/>
    </w:rPr>
  </w:style>
  <w:style w:type="paragraph" w:styleId="Style31" w:customStyle="1">
    <w:name w:val="Базовый нумерованный список"/>
    <w:basedOn w:val="Normal"/>
    <w:uiPriority w:val="99"/>
    <w:qFormat/>
    <w:rsid w:val="006b245c"/>
    <w:pPr>
      <w:spacing w:before="0" w:after="120"/>
      <w:ind w:left="851" w:firstLine="709"/>
      <w:jc w:val="both"/>
    </w:pPr>
    <w:rPr>
      <w:sz w:val="24"/>
      <w:szCs w:val="24"/>
    </w:rPr>
  </w:style>
  <w:style w:type="paragraph" w:styleId="Annotationtext">
    <w:name w:val="annotation text"/>
    <w:basedOn w:val="Normal"/>
    <w:link w:val="aff0"/>
    <w:uiPriority w:val="99"/>
    <w:semiHidden/>
    <w:qFormat/>
    <w:rsid w:val="006b245c"/>
    <w:pPr/>
    <w:rPr/>
  </w:style>
  <w:style w:type="paragraph" w:styleId="Annotationsubject">
    <w:name w:val="annotation subject"/>
    <w:basedOn w:val="Annotationtext"/>
    <w:link w:val="aff2"/>
    <w:uiPriority w:val="99"/>
    <w:semiHidden/>
    <w:qFormat/>
    <w:rsid w:val="006b245c"/>
    <w:pPr>
      <w:spacing w:before="0" w:after="200"/>
    </w:pPr>
    <w:rPr>
      <w:rFonts w:ascii="Calibri" w:hAnsi="Calibri" w:eastAsia="Calibri"/>
      <w:b/>
      <w:bCs/>
      <w:lang w:eastAsia="en-US"/>
    </w:rPr>
  </w:style>
  <w:style w:type="paragraph" w:styleId="TOCHeading">
    <w:name w:val="TOC Heading"/>
    <w:basedOn w:val="1"/>
    <w:uiPriority w:val="99"/>
    <w:qFormat/>
    <w:rsid w:val="006b245c"/>
    <w:pPr/>
    <w:rPr>
      <w:lang w:eastAsia="ru-RU"/>
    </w:rPr>
  </w:style>
  <w:style w:type="paragraph" w:styleId="Revision">
    <w:name w:val="Revision"/>
    <w:uiPriority w:val="99"/>
    <w:semiHidden/>
    <w:qFormat/>
    <w:rsid w:val="006b245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0"/>
      <w:szCs w:val="22"/>
      <w:lang w:val="ru-RU" w:eastAsia="en-US" w:bidi="ar-SA"/>
    </w:rPr>
  </w:style>
  <w:style w:type="paragraph" w:styleId="Calibri21" w:customStyle="1">
    <w:name w:val="Оглавление Calibri 2"/>
    <w:basedOn w:val="2"/>
    <w:link w:val="Calibri20"/>
    <w:uiPriority w:val="99"/>
    <w:qFormat/>
    <w:rsid w:val="006b245c"/>
    <w:pPr>
      <w:spacing w:before="40" w:after="240"/>
    </w:pPr>
    <w:rPr>
      <w:rFonts w:ascii="Calibri" w:hAnsi="Calibri"/>
      <w:bCs w:val="false"/>
      <w:color w:val="365F91"/>
      <w:sz w:val="20"/>
    </w:rPr>
  </w:style>
  <w:style w:type="paragraph" w:styleId="ListBullet2">
    <w:name w:val="List Bullet 2"/>
    <w:basedOn w:val="Normal"/>
    <w:autoRedefine/>
    <w:uiPriority w:val="99"/>
    <w:qFormat/>
    <w:rsid w:val="006b245c"/>
    <w:pPr>
      <w:tabs>
        <w:tab w:val="left" w:pos="643" w:leader="none"/>
      </w:tabs>
      <w:spacing w:before="0" w:after="60"/>
      <w:ind w:left="643" w:hanging="360"/>
      <w:jc w:val="both"/>
    </w:pPr>
    <w:rPr>
      <w:sz w:val="24"/>
      <w:szCs w:val="24"/>
    </w:rPr>
  </w:style>
  <w:style w:type="paragraph" w:styleId="Smallp" w:customStyle="1">
    <w:name w:val="small_p"/>
    <w:basedOn w:val="Normal"/>
    <w:qFormat/>
    <w:rsid w:val="006b245c"/>
    <w:pPr>
      <w:spacing w:before="0" w:afterAutospacing="1"/>
    </w:pPr>
    <w:rPr>
      <w:sz w:val="24"/>
      <w:szCs w:val="24"/>
    </w:rPr>
  </w:style>
  <w:style w:type="paragraph" w:styleId="Style32">
    <w:name w:val="Title"/>
    <w:basedOn w:val="Normal"/>
    <w:link w:val="aff7"/>
    <w:qFormat/>
    <w:rsid w:val="006b245c"/>
    <w:pPr>
      <w:jc w:val="center"/>
    </w:pPr>
    <w:rPr>
      <w:rFonts w:ascii="Cambria" w:hAnsi="Cambria"/>
      <w:b/>
      <w:bCs/>
      <w:sz w:val="32"/>
      <w:szCs w:val="32"/>
    </w:rPr>
  </w:style>
  <w:style w:type="paragraph" w:styleId="Footnotetext">
    <w:name w:val="footnote text"/>
    <w:basedOn w:val="Normal"/>
    <w:link w:val="aff9"/>
    <w:uiPriority w:val="99"/>
    <w:qFormat/>
    <w:rsid w:val="006b245c"/>
    <w:pPr>
      <w:widowControl w:val="false"/>
      <w:spacing w:lineRule="auto" w:line="259" w:before="180" w:after="0"/>
      <w:jc w:val="center"/>
    </w:pPr>
    <w:rPr/>
  </w:style>
  <w:style w:type="paragraph" w:styleId="15" w:customStyle="1">
    <w:name w:val="Заголовок 1 ЭКОНОМ"/>
    <w:basedOn w:val="Normal"/>
    <w:autoRedefine/>
    <w:qFormat/>
    <w:rsid w:val="006b245c"/>
    <w:pPr>
      <w:keepNext/>
      <w:tabs>
        <w:tab w:val="left" w:pos="567" w:leader="none"/>
        <w:tab w:val="left" w:pos="1778" w:leader="none"/>
      </w:tabs>
      <w:spacing w:before="240" w:after="60"/>
      <w:ind w:left="1778" w:hanging="360"/>
      <w:jc w:val="center"/>
      <w:outlineLvl w:val="0"/>
    </w:pPr>
    <w:rPr>
      <w:rFonts w:eastAsia="SimSun" w:cs="Arial"/>
      <w:b/>
      <w:bCs/>
      <w:sz w:val="32"/>
      <w:szCs w:val="32"/>
      <w:lang w:val="en-US" w:eastAsia="zh-CN"/>
    </w:rPr>
  </w:style>
  <w:style w:type="paragraph" w:styleId="NoSpacing">
    <w:name w:val="No Spacing"/>
    <w:uiPriority w:val="99"/>
    <w:qFormat/>
    <w:rsid w:val="006b245c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0"/>
      <w:szCs w:val="22"/>
      <w:lang w:val="ru-RU" w:eastAsia="en-US" w:bidi="ar-SA"/>
    </w:rPr>
  </w:style>
  <w:style w:type="paragraph" w:styleId="Style33">
    <w:name w:val="Содержимое таблицы"/>
    <w:basedOn w:val="Normal"/>
    <w:qFormat/>
    <w:pPr/>
    <w:rPr/>
  </w:style>
  <w:style w:type="paragraph" w:styleId="Style34">
    <w:name w:val="Заголовок таблицы"/>
    <w:basedOn w:val="Style33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6" w:customStyle="1">
    <w:name w:val="Нет списка1"/>
    <w:uiPriority w:val="99"/>
    <w:semiHidden/>
    <w:unhideWhenUsed/>
    <w:qFormat/>
    <w:rsid w:val="006b245c"/>
  </w:style>
  <w:style w:type="numbering" w:styleId="23" w:customStyle="1">
    <w:name w:val="Нет списка2"/>
    <w:uiPriority w:val="99"/>
    <w:semiHidden/>
    <w:unhideWhenUsed/>
    <w:qFormat/>
    <w:rsid w:val="006b245c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2"/>
    <w:uiPriority w:val="99"/>
    <w:rsid w:val="006b245c"/>
    <w:pPr>
      <w:spacing w:after="60" w:line="240" w:lineRule="auto"/>
      <w:jc w:val="both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Сетка таблицы1"/>
    <w:basedOn w:val="a2"/>
    <w:uiPriority w:val="39"/>
    <w:rsid w:val="006b245c"/>
    <w:pPr>
      <w:spacing w:after="0" w:line="240" w:lineRule="auto"/>
      <w:jc w:val="both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1">
    <w:name w:val="Сетка таблицы11"/>
    <w:basedOn w:val="a2"/>
    <w:uiPriority w:val="39"/>
    <w:rsid w:val="006b245c"/>
    <w:pPr>
      <w:spacing w:after="0" w:line="240" w:lineRule="auto"/>
    </w:pPr>
    <w:rPr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5">
    <w:name w:val="Сетка таблицы2"/>
    <w:basedOn w:val="a2"/>
    <w:uiPriority w:val="59"/>
    <w:rsid w:val="002752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B9E77-E9F7-4476-B3A3-C99FDBEF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LibreOffice/5.1.6.2$Linux_X86_64 LibreOffice_project/10m0$Build-2</Application>
  <Pages>3</Pages>
  <Words>854</Words>
  <Characters>5352</Characters>
  <CharactersWithSpaces>6044</CharactersWithSpaces>
  <Paragraphs>220</Paragraphs>
  <Company>VTB24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2021-04-08T10:38:00Z</dcterms:created>
  <dc:creator>Рымар Виталий Александрович</dc:creator>
  <dc:description/>
  <dc:language>ru-RU</dc:language>
  <cp:lastModifiedBy/>
  <dcterms:modified xsi:type="dcterms:W3CDTF">2021-04-12T20:16:47Z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VTB24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