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903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28"/>
        <w:gridCol w:w="2411"/>
        <w:gridCol w:w="5825"/>
        <w:gridCol w:w="1038"/>
      </w:tblGrid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5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1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Технические характеристики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Коли-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чество товара,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аналогового ввода ADAM-5013-А3</w:t>
            </w:r>
          </w:p>
        </w:tc>
        <w:tc>
          <w:tcPr>
            <w:tcW w:w="5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1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3 канала для термометров сопротивления, подключение ТС по 2-ух, 3-ех или 4-ех проводной схеме, основная погрешность измерения ±0,1%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аналогового ввода ADAM-5017-А3</w:t>
            </w:r>
          </w:p>
        </w:tc>
        <w:tc>
          <w:tcPr>
            <w:tcW w:w="5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1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8 каналов аналогового ввода, измерение напряжения милливольтового и вольтового диапазонов, силы тока при использовании дополнительного внешнего резистор, основная погрешность измерения ±0,1%. , уровень ограничения входного сигнала ± 15В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аналогового ввода ADAM-5018-А1</w:t>
            </w:r>
          </w:p>
        </w:tc>
        <w:tc>
          <w:tcPr>
            <w:tcW w:w="5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1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7 каналов  аналогового ввода сигналов термопар, измерение напряжения милливольтового и вольтового диапазонов, силы тока при использовании дополнительного внешнего резистор и температуры с помощью термопар, наличие внешнего датчика для компенсации температуры холодного спая на клемной колодке модуля, основная погрешность измерения ±0,1%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аналогового вывода ADAM-5024-АЕ</w:t>
            </w:r>
          </w:p>
        </w:tc>
        <w:tc>
          <w:tcPr>
            <w:tcW w:w="5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1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4 канала аналогового вывода, возможность задать скорость нарастания выходного сигнала, его начального значения и типа (мА или В), диапазон выходного сигнала 0-20мА, 4-20мА, 0-10В, разрешение ±0,015% полной шкалы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дискретного ввода-вывода ADAM-5050-АЕ</w:t>
            </w:r>
          </w:p>
        </w:tc>
        <w:tc>
          <w:tcPr>
            <w:tcW w:w="5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1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16 каналов дискретного ввода-вывода, независемая конфигурация каналов, дискретный ввод: уровень логического"0" не более 2В, "1" от 4 до 30В, дискретный вывод: тип "открытый коллектор" коммутируемое напряжение до 30В, ток нагрузки до 100мА при мощности 450мВт, потребляемая мощность 0.4Вт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релейного вывода ADAM-5060-АЕ</w:t>
            </w:r>
          </w:p>
        </w:tc>
        <w:tc>
          <w:tcPr>
            <w:tcW w:w="5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1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6 релейных каналов (2НРК, 4ПК), электрическая прочность контактов: по переменному току 250В при 0,3А, по постоянному 30В при 2А, номинаольное время включения 3мс, выключения 1мс, переключения 10мс, потребляемая мощьность 0.7Вт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>
      <w:pPr>
        <w:pStyle w:val="Normal"/>
        <w:ind w:firstLine="708"/>
        <w:jc w:val="both"/>
        <w:rPr>
          <w:sz w:val="20"/>
          <w:szCs w:val="20"/>
        </w:rPr>
      </w:pPr>
      <w:r>
        <w:rPr/>
      </w:r>
    </w:p>
    <w:sectPr>
      <w:type w:val="nextPage"/>
      <w:pgSz w:w="11906" w:h="16838"/>
      <w:pgMar w:left="1276" w:right="850" w:header="0" w:top="709" w:footer="0" w:bottom="426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7c5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sid w:val="00307c55"/>
    <w:rPr>
      <w:color w:val="0000FF"/>
      <w:u w:val="single"/>
    </w:rPr>
  </w:style>
  <w:style w:type="character" w:styleId="Style15" w:customStyle="1">
    <w:name w:val="Текст сноски Знак"/>
    <w:basedOn w:val="DefaultParagraphFont"/>
    <w:link w:val="a5"/>
    <w:uiPriority w:val="99"/>
    <w:semiHidden/>
    <w:qFormat/>
    <w:rsid w:val="00e01e15"/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character" w:styleId="Style16" w:customStyle="1">
    <w:name w:val="Текст примечания Знак"/>
    <w:basedOn w:val="DefaultParagraphFont"/>
    <w:link w:val="a7"/>
    <w:uiPriority w:val="99"/>
    <w:semiHidden/>
    <w:qFormat/>
    <w:rsid w:val="00e01e15"/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e01e15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01e15"/>
    <w:rPr>
      <w:sz w:val="16"/>
      <w:szCs w:val="16"/>
    </w:rPr>
  </w:style>
  <w:style w:type="character" w:styleId="Style17" w:customStyle="1">
    <w:name w:val="Текст выноски Знак"/>
    <w:basedOn w:val="DefaultParagraphFont"/>
    <w:link w:val="ac"/>
    <w:uiPriority w:val="99"/>
    <w:semiHidden/>
    <w:qFormat/>
    <w:rsid w:val="00e01e15"/>
    <w:rPr>
      <w:rFonts w:ascii="Tahoma" w:hAnsi="Tahoma" w:eastAsia="Times New Roman" w:cs="Tahoma"/>
      <w:sz w:val="16"/>
      <w:szCs w:val="16"/>
    </w:rPr>
  </w:style>
  <w:style w:type="character" w:styleId="Style18" w:customStyle="1">
    <w:name w:val="Основной текст Знак"/>
    <w:basedOn w:val="DefaultParagraphFont"/>
    <w:link w:val="af"/>
    <w:uiPriority w:val="99"/>
    <w:qFormat/>
    <w:rsid w:val="001f0c97"/>
    <w:rPr>
      <w:rFonts w:ascii="Courier New" w:hAnsi="Courier New" w:eastAsia="Times New Roman" w:cs="Courier New"/>
      <w:sz w:val="28"/>
      <w:szCs w:val="28"/>
      <w:shd w:fill="FFFFFF" w:val="clear"/>
    </w:rPr>
  </w:style>
  <w:style w:type="character" w:styleId="ListParagraphChar" w:customStyle="1">
    <w:name w:val="List Paragraph Char"/>
    <w:basedOn w:val="DefaultParagraphFont"/>
    <w:link w:val="1"/>
    <w:qFormat/>
    <w:locked/>
    <w:rsid w:val="00a570de"/>
    <w:rPr>
      <w:rFonts w:ascii="Times New Roman" w:hAnsi="Times New Roman"/>
      <w:sz w:val="24"/>
    </w:rPr>
  </w:style>
  <w:style w:type="character" w:styleId="Style19">
    <w:name w:val="Посещённая гиперссылка"/>
    <w:rPr>
      <w:color w:val="800000"/>
      <w:u w:val="single"/>
      <w:lang w:val="zxx" w:eastAsia="zxx" w:bidi="zxx"/>
    </w:rPr>
  </w:style>
  <w:style w:type="paragraph" w:styleId="Style20">
    <w:name w:val="Заголовок"/>
    <w:basedOn w:val="Normal"/>
    <w:next w:val="Style21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21">
    <w:name w:val="Body Text"/>
    <w:basedOn w:val="Normal"/>
    <w:link w:val="af0"/>
    <w:uiPriority w:val="99"/>
    <w:rsid w:val="001f0c97"/>
    <w:pPr>
      <w:widowControl w:val="false"/>
      <w:shd w:val="clear" w:color="auto" w:fill="FFFFFF"/>
      <w:spacing w:lineRule="exact" w:line="346" w:before="130" w:after="0"/>
      <w:ind w:right="1152" w:hanging="0"/>
      <w:jc w:val="right"/>
    </w:pPr>
    <w:rPr>
      <w:rFonts w:ascii="Courier New" w:hAnsi="Courier New" w:cs="Courier New"/>
      <w:sz w:val="28"/>
      <w:szCs w:val="28"/>
    </w:rPr>
  </w:style>
  <w:style w:type="paragraph" w:styleId="Style22">
    <w:name w:val="List"/>
    <w:basedOn w:val="Style21"/>
    <w:pPr>
      <w:shd w:fill="FFFFFF" w:val="clear"/>
    </w:pPr>
    <w:rPr>
      <w:rFonts w:cs="Free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uiPriority w:val="99"/>
    <w:qFormat/>
    <w:rsid w:val="00307c55"/>
    <w:pPr>
      <w:jc w:val="center"/>
    </w:pPr>
    <w:rPr>
      <w:sz w:val="28"/>
      <w:lang w:val="en-US"/>
    </w:rPr>
  </w:style>
  <w:style w:type="paragraph" w:styleId="Footnotetext">
    <w:name w:val="footnote text"/>
    <w:basedOn w:val="Normal"/>
    <w:link w:val="a6"/>
    <w:uiPriority w:val="99"/>
    <w:semiHidden/>
    <w:unhideWhenUsed/>
    <w:qFormat/>
    <w:rsid w:val="00e01e15"/>
    <w:pPr/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paragraph" w:styleId="Annotationtext">
    <w:name w:val="annotation text"/>
    <w:basedOn w:val="Normal"/>
    <w:link w:val="a8"/>
    <w:uiPriority w:val="99"/>
    <w:semiHidden/>
    <w:unhideWhenUsed/>
    <w:qFormat/>
    <w:rsid w:val="00e01e15"/>
    <w:pPr>
      <w:spacing w:before="0" w:after="200"/>
    </w:pPr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paragraph" w:styleId="ListParagraph">
    <w:name w:val="List Paragraph"/>
    <w:basedOn w:val="Normal"/>
    <w:uiPriority w:val="34"/>
    <w:qFormat/>
    <w:rsid w:val="00e01e15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e01e15"/>
    <w:pPr/>
    <w:rPr>
      <w:rFonts w:ascii="Tahoma" w:hAnsi="Tahoma" w:cs="Tahoma"/>
      <w:sz w:val="16"/>
      <w:szCs w:val="16"/>
    </w:rPr>
  </w:style>
  <w:style w:type="paragraph" w:styleId="Style25" w:customStyle="1">
    <w:name w:val="Исполнитель"/>
    <w:basedOn w:val="Normal"/>
    <w:qFormat/>
    <w:rsid w:val="00496617"/>
    <w:pPr>
      <w:widowControl w:val="false"/>
    </w:pPr>
    <w:rPr>
      <w:rFonts w:ascii="Verdana" w:hAnsi="Verdana"/>
      <w:color w:val="333399"/>
      <w:sz w:val="12"/>
    </w:rPr>
  </w:style>
  <w:style w:type="paragraph" w:styleId="Style26" w:customStyle="1">
    <w:name w:val="Казаков"/>
    <w:basedOn w:val="Normal"/>
    <w:qFormat/>
    <w:rsid w:val="00496617"/>
    <w:pPr>
      <w:widowControl w:val="false"/>
      <w:spacing w:before="240" w:after="120"/>
    </w:pPr>
    <w:rPr>
      <w:rFonts w:ascii="Verdana" w:hAnsi="Verdana"/>
      <w:color w:val="333399"/>
      <w:sz w:val="28"/>
    </w:rPr>
  </w:style>
  <w:style w:type="paragraph" w:styleId="ConsPlusNormal" w:customStyle="1">
    <w:name w:val="ConsPlusNormal"/>
    <w:qFormat/>
    <w:rsid w:val="00131947"/>
    <w:pPr>
      <w:widowControl w:val="false"/>
      <w:bidi w:val="0"/>
      <w:ind w:firstLine="720"/>
      <w:jc w:val="left"/>
    </w:pPr>
    <w:rPr>
      <w:rFonts w:ascii="Arial" w:hAnsi="Arial" w:cs="Arial" w:eastAsia="Calibri"/>
      <w:color w:val="auto"/>
      <w:sz w:val="20"/>
      <w:szCs w:val="20"/>
      <w:lang w:val="ru-RU" w:eastAsia="ru-RU" w:bidi="ar-SA"/>
    </w:rPr>
  </w:style>
  <w:style w:type="paragraph" w:styleId="1" w:customStyle="1">
    <w:name w:val="Абзац списка1"/>
    <w:basedOn w:val="Normal"/>
    <w:link w:val="ListParagraphChar"/>
    <w:qFormat/>
    <w:rsid w:val="00a570de"/>
    <w:pPr>
      <w:ind w:left="720" w:hanging="0"/>
    </w:pPr>
    <w:rPr>
      <w:rFonts w:eastAsia="Calibri"/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67067e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34CCD-A67D-459F-9535-CBF8A1568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Application>LibreOffice/5.1.6.2$Linux_X86_64 LibreOffice_project/10m0$Build-2</Application>
  <Pages>1</Pages>
  <Words>228</Words>
  <Characters>1542</Characters>
  <CharactersWithSpaces>1742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2020-07-03T02:51:00Z</dcterms:created>
  <dc:creator>user</dc:creator>
  <dc:description/>
  <dc:language>ru-RU</dc:language>
  <cp:lastModifiedBy/>
  <cp:lastPrinted>2021-06-16T02:57:00Z</cp:lastPrinted>
  <dcterms:modified xsi:type="dcterms:W3CDTF">2021-06-16T12:59:44Z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