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Внешний вид Прозрачный Бесцветная прозрачная жидкость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Формальдегид, 57,17% 56,5 ± 1,0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Мочевина, 23,03% 23,5 ± 1,0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Сухой остаток, % 80,20 80,0 ±1,0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Плотность, г/см3, 20°С 1299 1280 – 1310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Вязкость, сПз, 20°С 198 150 – 300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рН, 20°С 6,95 6,0 -8,0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Formure-C</w:t>
      </w:r>
    </w:p>
    <w:p>
      <w:pPr>
        <w:pStyle w:val="Normal"/>
        <w:widowControl/>
        <w:bidi w:val="0"/>
        <w:ind w:left="0" w:right="0" w:hanging="0"/>
        <w:jc w:val="left"/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Сверху химический состав формальдегида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YS Text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1</Pages>
  <Words>44</Words>
  <Characters>247</Characters>
  <CharactersWithSpaces>284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2022-01-26T11:56:56Z</dcterms:created>
  <dc:creator/>
  <dc:description/>
  <dc:language>ru-RU</dc:language>
  <cp:lastModifiedBy/>
  <dcterms:modified xsi:type="dcterms:W3CDTF">2022-01-26T11:58:33Z</dcterms:modified>
  <cp:revision>1</cp:revision>
  <dc:subject/>
  <dc:title/>
</cp:coreProperties>
</file>