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 xml:space="preserve">Детонирующий шнур ДШЭ-12 ГОСТ ГОСТ РО 1375-001-2010 (ГОСТ 6196 78) или следующих марок: ДШН-6,ДШН-8, ДШН-10. 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 xml:space="preserve">Детонирующий шнур экструзионный нормальной мощности повышенной водостойкости. Предназначен для передачи детонационного импульса взрывчатым веществам на расстояние при температуре окружающей среды от - 50 °С до + 65 °С . Требуемое количество - 100 000 (Сто тысяч) погонных метров. 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 xml:space="preserve">Место поставки: поселок Акжал, Шетский район, Карагандинская область, Казахстан. 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Время поставки: ноябрь-декабрь 2022 года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 xml:space="preserve">1.Неэлектрическая система инициирования -поверхностно-скважинная (25мс÷42мс/500мс÷1000мс) – 17м - 960 (Девятьсот шестьдесят штук); 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2. Неэлектрическая система инициирования -поверхностно-скважинная (25мс÷42мс/500мс÷1000мс) – 10м - 960 (Девятьсот шестьдесят штук);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3. Неэлектрическая система инициирования внутрискважинная (500мс÷1000мс) – 5м - 1080 (Одна тысяча восемьдесят) штук;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4. Неэлектрическая система инициирования внутрискважинная (500мс÷1000мс) – 7м - 960 (Девятьсот шестьдесят) штук;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5. Неэлектрическая система инициирования внутрискважинная (500мс÷1000мс) – 10м - 960 (Девятьсот шестьдесят) штук;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6. Неэлектрическая система инициирования -поверхностная (25мс÷42мс) – 5м - 2080 (Две тысячи восемьдесят) штук;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7. Неэлектрическая система инициирования -поверхностная (0мс) – 500м (вытяжка) - 24 штуки (катушки);</w:t>
      </w:r>
    </w:p>
    <w:p>
      <w:pPr>
        <w:pStyle w:val="Normal"/>
        <w:widowControl/>
        <w:bidi w:val="0"/>
        <w:ind w:left="0" w:right="0" w:hanging="0"/>
        <w:jc w:val="left"/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Ubuntu;sans-serif" w:hAnsi="Ubuntu;sans-serif"/>
          <w:b w:val="false"/>
          <w:i w:val="false"/>
          <w:caps w:val="false"/>
          <w:smallCaps w:val="false"/>
          <w:spacing w:val="0"/>
          <w:sz w:val="21"/>
        </w:rPr>
        <w:t>8. Детонирующий шнур для открытых горных работ (ДШЭ, ДШН, ДША) - 100 000 (Сто тысяч) погонных метров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buntu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169</Words>
  <Characters>1255</Characters>
  <CharactersWithSpaces>1423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2022-10-27T17:21:48Z</dcterms:created>
  <dc:creator/>
  <dc:description/>
  <dc:language>ru-RU</dc:language>
  <cp:lastModifiedBy/>
  <dcterms:modified xsi:type="dcterms:W3CDTF">2022-10-27T17:23:25Z</dcterms:modified>
  <cp:revision>1</cp:revision>
  <dc:subject/>
  <dc:title/>
</cp:coreProperties>
</file>