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C5" w:rsidRDefault="001D06C5" w:rsidP="001D06C5">
      <w:pPr>
        <w:tabs>
          <w:tab w:val="left" w:pos="5954"/>
          <w:tab w:val="left" w:pos="6946"/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E00" w:rsidRDefault="00497E00" w:rsidP="00892798">
      <w:pPr>
        <w:tabs>
          <w:tab w:val="left" w:pos="5954"/>
        </w:tabs>
        <w:spacing w:after="0" w:line="240" w:lineRule="auto"/>
        <w:ind w:left="5954" w:firstLine="283"/>
        <w:jc w:val="right"/>
        <w:rPr>
          <w:rFonts w:ascii="Times New Roman" w:hAnsi="Times New Roman"/>
          <w:b/>
          <w:sz w:val="24"/>
          <w:szCs w:val="24"/>
        </w:rPr>
      </w:pPr>
    </w:p>
    <w:p w:rsidR="0042363C" w:rsidRPr="0097541C" w:rsidRDefault="0042363C" w:rsidP="00F5630B">
      <w:pPr>
        <w:keepNext/>
        <w:widowControl w:val="0"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D06C5" w:rsidRDefault="001C514E" w:rsidP="001D06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B9">
        <w:rPr>
          <w:rFonts w:ascii="Times New Roman" w:hAnsi="Times New Roman"/>
          <w:b/>
          <w:sz w:val="28"/>
          <w:szCs w:val="28"/>
        </w:rPr>
        <w:t xml:space="preserve">Техническое </w:t>
      </w:r>
      <w:r w:rsidR="00793B96">
        <w:rPr>
          <w:rFonts w:ascii="Times New Roman" w:hAnsi="Times New Roman"/>
          <w:b/>
          <w:sz w:val="28"/>
          <w:szCs w:val="28"/>
        </w:rPr>
        <w:t>описание</w:t>
      </w:r>
      <w:r w:rsidRPr="00D334B9">
        <w:rPr>
          <w:rFonts w:ascii="Times New Roman" w:hAnsi="Times New Roman"/>
          <w:b/>
          <w:sz w:val="28"/>
          <w:szCs w:val="28"/>
        </w:rPr>
        <w:t xml:space="preserve"> </w:t>
      </w:r>
      <w:r w:rsidR="00892798" w:rsidRPr="00D334B9">
        <w:rPr>
          <w:rFonts w:ascii="Times New Roman" w:hAnsi="Times New Roman"/>
          <w:b/>
          <w:sz w:val="28"/>
          <w:szCs w:val="28"/>
        </w:rPr>
        <w:t xml:space="preserve">на </w:t>
      </w:r>
      <w:r w:rsidR="00892798" w:rsidRPr="0054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поставку</w:t>
      </w:r>
      <w:r w:rsidR="0096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6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приборов</w:t>
      </w:r>
      <w:r w:rsidR="0098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учета эл.энергии</w:t>
      </w:r>
    </w:p>
    <w:p w:rsidR="00F5630B" w:rsidRPr="0097541C" w:rsidRDefault="00F5630B" w:rsidP="00F5630B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961"/>
        <w:gridCol w:w="13757"/>
      </w:tblGrid>
      <w:tr w:rsidR="0042363C" w:rsidRPr="00497E00" w:rsidTr="00712C70">
        <w:trPr>
          <w:trHeight w:val="712"/>
          <w:jc w:val="center"/>
        </w:trPr>
        <w:tc>
          <w:tcPr>
            <w:tcW w:w="559" w:type="dxa"/>
            <w:vAlign w:val="center"/>
          </w:tcPr>
          <w:p w:rsidR="0042363C" w:rsidRPr="00497E00" w:rsidRDefault="0042363C" w:rsidP="00702EE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2363C" w:rsidRPr="00497E00" w:rsidRDefault="0042363C" w:rsidP="00702EE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6" w:type="dxa"/>
            <w:vAlign w:val="center"/>
          </w:tcPr>
          <w:p w:rsidR="0042363C" w:rsidRPr="00497E00" w:rsidRDefault="0042363C" w:rsidP="00702EE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13758" w:type="dxa"/>
            <w:vAlign w:val="center"/>
          </w:tcPr>
          <w:p w:rsidR="0042363C" w:rsidRPr="00497E00" w:rsidRDefault="0042363C" w:rsidP="00702EE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42363C" w:rsidRPr="00497E00" w:rsidTr="00712C70">
        <w:trPr>
          <w:trHeight w:val="564"/>
          <w:jc w:val="center"/>
        </w:trPr>
        <w:tc>
          <w:tcPr>
            <w:tcW w:w="559" w:type="dxa"/>
          </w:tcPr>
          <w:p w:rsidR="0042363C" w:rsidRPr="00497E00" w:rsidRDefault="0042363C" w:rsidP="00702E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</w:tcPr>
          <w:p w:rsidR="00985D8F" w:rsidRPr="00497E00" w:rsidRDefault="0042363C" w:rsidP="0079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="0079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13758" w:type="dxa"/>
          </w:tcPr>
          <w:p w:rsidR="00C12937" w:rsidRPr="00497E00" w:rsidRDefault="00842BF9" w:rsidP="00C12937">
            <w:pPr>
              <w:widowControl w:val="0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приборы учета электрической энергии</w:t>
            </w:r>
          </w:p>
        </w:tc>
      </w:tr>
      <w:tr w:rsidR="00264B74" w:rsidRPr="007321FF" w:rsidTr="00E630D7">
        <w:trPr>
          <w:trHeight w:val="4527"/>
          <w:jc w:val="center"/>
        </w:trPr>
        <w:tc>
          <w:tcPr>
            <w:tcW w:w="559" w:type="dxa"/>
          </w:tcPr>
          <w:p w:rsidR="00264B74" w:rsidRPr="00497E00" w:rsidRDefault="00264B74" w:rsidP="0089279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264B74" w:rsidRPr="00497E00" w:rsidRDefault="00264B74" w:rsidP="0089279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товара</w:t>
            </w:r>
          </w:p>
        </w:tc>
        <w:tc>
          <w:tcPr>
            <w:tcW w:w="1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531" w:type="dxa"/>
              <w:tblLook w:val="04A0"/>
            </w:tblPr>
            <w:tblGrid>
              <w:gridCol w:w="486"/>
              <w:gridCol w:w="2079"/>
              <w:gridCol w:w="1832"/>
              <w:gridCol w:w="5209"/>
              <w:gridCol w:w="579"/>
              <w:gridCol w:w="771"/>
              <w:gridCol w:w="1207"/>
              <w:gridCol w:w="1368"/>
            </w:tblGrid>
            <w:tr w:rsidR="0064738A" w:rsidRPr="00E93B65" w:rsidTr="00712C70">
              <w:trPr>
                <w:trHeight w:val="52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D46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Ссылка на </w:t>
                  </w:r>
                  <w:r w:rsidR="00D465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ГОСТ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B74" w:rsidRPr="00E93B65" w:rsidRDefault="00D46556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65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технические характеристики товара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Ед. </w:t>
                  </w:r>
                  <w:proofErr w:type="spellStart"/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</w:t>
                  </w:r>
                  <w:proofErr w:type="spellEnd"/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Цена, руб. за ед. с НДС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4738A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64738A" w:rsidP="00E93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64738A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264B74" w:rsidRDefault="009B0A66" w:rsidP="004067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Однофазный счётчик </w:t>
                  </w:r>
                  <w:r w:rsidRPr="009B0A66">
                    <w:rPr>
                      <w:rFonts w:ascii="Times New Roman" w:hAnsi="Times New Roman" w:cs="Times New Roman"/>
                    </w:rPr>
                    <w:t xml:space="preserve">электрической энергии </w:t>
                  </w:r>
                  <w:r w:rsidR="004067C1" w:rsidRPr="004B3AB9">
                    <w:rPr>
                      <w:rFonts w:ascii="Times New Roman" w:hAnsi="Times New Roman" w:cs="Times New Roman"/>
                    </w:rPr>
                    <w:t>шкафного</w:t>
                  </w:r>
                  <w:r w:rsidRPr="004B3A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0A66">
                    <w:rPr>
                      <w:rFonts w:ascii="Times New Roman" w:hAnsi="Times New Roman" w:cs="Times New Roman"/>
                    </w:rPr>
                    <w:t xml:space="preserve">исполнения 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712C70" w:rsidRDefault="005866D4" w:rsidP="0064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2C7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ГОСТ 31819.21-2012</w:t>
                  </w:r>
                </w:p>
                <w:p w:rsidR="005866D4" w:rsidRPr="0064738A" w:rsidRDefault="005866D4" w:rsidP="0064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12C7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ГОСТ 31819.23-2012</w:t>
                  </w:r>
                </w:p>
              </w:tc>
              <w:tc>
                <w:tcPr>
                  <w:tcW w:w="5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аличие ЖКИ: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крепление: на din-рейку или на 3 винта;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реле управления нагрузкой: встроенное;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наличие оптического интерфейса: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возможность подключения внешнего дисплея: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подтверждение включения нагрузки внешним дисплеем: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класс точности измеряемой электроэнергии (активной/реактивной): не менее 1/2;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номинальное напряжение </w:t>
                  </w:r>
                  <w:proofErr w:type="spellStart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Uном</w:t>
                  </w:r>
                  <w:proofErr w:type="spell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gramStart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</w:t>
                  </w:r>
                  <w:proofErr w:type="gram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: не менее 220, не более 230;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номинальный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I</w:t>
                  </w:r>
                  <w:proofErr w:type="gram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ном</w:t>
                  </w:r>
                  <w:proofErr w:type="spell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, А: не более 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максимальный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I</w:t>
                  </w:r>
                  <w:proofErr w:type="gram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макс</w:t>
                  </w:r>
                  <w:proofErr w:type="spell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, А: не менее 80;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количество тарифов: не менее 4;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класс защиты IP: не менее 51;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наличие встроенного или сменного модуля GSM/GPRS с антенной в комплекте: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температурный диапазон рабочих условий применения, °</w:t>
                  </w:r>
                  <w:proofErr w:type="gramStart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: не менее от -40 до +45;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срок службы встроенного источника постоянного тока, лет, не менее: 10;</w:t>
                  </w:r>
                </w:p>
                <w:p w:rsidR="00264B74" w:rsidRPr="005475D2" w:rsidRDefault="005475D2" w:rsidP="005475D2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spacing w:after="225" w:line="240" w:lineRule="auto"/>
                    <w:textAlignment w:val="baseline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интервал между поверками, лет, не </w:t>
                  </w:r>
                  <w:r w:rsidRPr="00547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lastRenderedPageBreak/>
                    <w:t>менее: 16.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ш</w:t>
                  </w:r>
                  <w:r w:rsidR="00264B74" w:rsidRPr="00E93B6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851" w:rsidRPr="00E93B65" w:rsidRDefault="00A60FF9" w:rsidP="00B2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B74" w:rsidRPr="00E93B65" w:rsidRDefault="00264B74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400D" w:rsidRPr="00E93B65" w:rsidRDefault="0025400D" w:rsidP="00254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4738A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E93B65" w:rsidRDefault="00B8248A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264B74" w:rsidRDefault="00B8248A" w:rsidP="004067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Трехфазный счётчик</w:t>
                  </w:r>
                  <w:r w:rsidRPr="00B8248A">
                    <w:rPr>
                      <w:rFonts w:ascii="Times New Roman" w:hAnsi="Times New Roman" w:cs="Times New Roman"/>
                    </w:rPr>
                    <w:t xml:space="preserve"> электрической энергии </w:t>
                  </w:r>
                  <w:r w:rsidR="004067C1" w:rsidRPr="004B3AB9">
                    <w:rPr>
                      <w:rFonts w:ascii="Times New Roman" w:hAnsi="Times New Roman" w:cs="Times New Roman"/>
                    </w:rPr>
                    <w:t>шкафного</w:t>
                  </w:r>
                  <w:r w:rsidRPr="004B3A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48A">
                    <w:rPr>
                      <w:rFonts w:ascii="Times New Roman" w:hAnsi="Times New Roman" w:cs="Times New Roman"/>
                    </w:rPr>
                    <w:t>исполнения прямого включения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712C70" w:rsidRDefault="005866D4" w:rsidP="00264B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12C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ГОСТ 31819.21-2012</w:t>
                  </w:r>
                </w:p>
                <w:p w:rsidR="005866D4" w:rsidRDefault="005866D4" w:rsidP="00264B7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712C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ГОСТ 31819.23-2012</w:t>
                  </w:r>
                </w:p>
              </w:tc>
              <w:tc>
                <w:tcPr>
                  <w:tcW w:w="5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аличие ЖКИ: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крепление: на din-рейку или на 3 винта;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реле управления нагрузкой: встроенное;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оптического интерфейса: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возможность подключения внешнего дисплея: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подтверждение включения нагрузки внешним дисплеем: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точности измеряемой электроэнергии (активной/реактивной): не менее 1/2;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номинальное напряжение </w:t>
                  </w:r>
                  <w:proofErr w:type="spell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Uном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не менее 3х220/380, не более 3х230/400;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номинальный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А: не более 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максимальный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А: не менее 100;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тарифов: не менее 4;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защиты IP: не менее 51;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встроенного или сменного модуля GSM/GPRS с антенной в комплекте: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температурный диапазон рабочих условий применения, °</w:t>
                  </w:r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не менее от -40 до +45;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службы встроенного источника постоянного тока, лет, не менее: 10;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интервал между поверками, лет, не менее: 16.</w:t>
                  </w:r>
                </w:p>
                <w:p w:rsidR="00264B74" w:rsidRPr="00264B74" w:rsidRDefault="00264B74" w:rsidP="00B8248A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E93B65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</w:t>
                  </w:r>
                  <w:r w:rsidR="00D465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E93B65" w:rsidRDefault="00A60FF9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B74" w:rsidRPr="00C239B7" w:rsidRDefault="00264B74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92D" w:rsidRPr="00C239B7" w:rsidRDefault="0080792D" w:rsidP="00807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8248A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B8248A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B8248A" w:rsidP="004067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Трехфазный счётчик</w:t>
                  </w:r>
                  <w:r w:rsidRPr="00B8248A">
                    <w:rPr>
                      <w:rFonts w:ascii="Times New Roman" w:hAnsi="Times New Roman" w:cs="Times New Roman"/>
                    </w:rPr>
                    <w:t xml:space="preserve"> электрической энергии </w:t>
                  </w:r>
                  <w:r w:rsidR="004067C1" w:rsidRPr="004B3AB9">
                    <w:rPr>
                      <w:rFonts w:ascii="Times New Roman" w:hAnsi="Times New Roman" w:cs="Times New Roman"/>
                    </w:rPr>
                    <w:t>шкафного</w:t>
                  </w:r>
                  <w:r w:rsidRPr="004B3A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48A">
                    <w:rPr>
                      <w:rFonts w:ascii="Times New Roman" w:hAnsi="Times New Roman" w:cs="Times New Roman"/>
                    </w:rPr>
                    <w:t>исполнения трансформаторного включения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Pr="00712C70" w:rsidRDefault="005866D4" w:rsidP="00264B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12C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ГОСТ 31819.22-2012</w:t>
                  </w:r>
                </w:p>
              </w:tc>
              <w:tc>
                <w:tcPr>
                  <w:tcW w:w="5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аличие ЖКИ: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крепление: на din-рейку или на 3 винта;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оптического интерфейса: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возможность подключения внешнего дисплея: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точности измеряемой электроэнергии (активной/реактивной): не менее 0,5S/1;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номинальное напряжение </w:t>
                  </w:r>
                  <w:proofErr w:type="spell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Uном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не менее 3х220/380, не более 3х230/400;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номинальный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А: не более 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максимальный ток </w:t>
                  </w:r>
                  <w:proofErr w:type="spellStart"/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</w:t>
                  </w:r>
                  <w:proofErr w:type="spell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А: не более 10;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тарифов: не менее 4;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защиты IP: не менее 51;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встроенного или сменного модуля GSM/GPRS с антенной: да;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температурный диапазон рабочих условий 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применения, °</w:t>
                  </w:r>
                  <w:proofErr w:type="gramStart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не менее от -40 до +45;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службы встроенного источника постоянного тока, лет, не менее: 10;</w:t>
                  </w:r>
                </w:p>
                <w:p w:rsidR="00B8248A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интервал между поверками, лет, не менее: 16.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шт.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851" w:rsidRPr="00E93B65" w:rsidRDefault="00A60FF9" w:rsidP="00B2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6C3" w:rsidRDefault="006826C3" w:rsidP="00682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Pr="00D46556" w:rsidRDefault="00B8248A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8248A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5475D2" w:rsidP="009B0A6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Внешний дисплей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Pr="00712C70" w:rsidRDefault="005866D4" w:rsidP="00264B7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12C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ГОСТ 14254-2015</w:t>
                  </w:r>
                </w:p>
              </w:tc>
              <w:tc>
                <w:tcPr>
                  <w:tcW w:w="5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75D2" w:rsidRPr="005475D2" w:rsidRDefault="005475D2" w:rsidP="005475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5475D2" w:rsidRPr="004B3AB9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ыносной, для однофазных и трехфазных счетчиков электрической </w:t>
                  </w:r>
                  <w:r w:rsidRPr="004B3AB9">
                    <w:rPr>
                      <w:rFonts w:ascii="Times New Roman" w:eastAsia="Times New Roman" w:hAnsi="Times New Roman" w:cs="Times New Roman"/>
                      <w:lang w:eastAsia="ru-RU"/>
                    </w:rPr>
                    <w:t>энергии</w:t>
                  </w:r>
                  <w:r w:rsidR="004067C1" w:rsidRPr="004B3A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шкафного исполнения</w:t>
                  </w:r>
                  <w:r w:rsidRPr="004B3AB9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втономное питание от батарей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батареи в комплекте</w:t>
                  </w: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  <w:p w:rsidR="005475D2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возможность изменения состояния реле управления нагрузкой счетчика абонентом: нет;</w:t>
                  </w:r>
                </w:p>
                <w:p w:rsidR="00B8248A" w:rsidRPr="005475D2" w:rsidRDefault="005475D2" w:rsidP="005475D2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75D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защиты IP: не менее 51.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48A" w:rsidRPr="00E93B65" w:rsidRDefault="00A60FF9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5D2" w:rsidRDefault="005475D2" w:rsidP="00264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FE2" w:rsidRPr="00D46556" w:rsidRDefault="00F96FE2" w:rsidP="00F96F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64B74" w:rsidRPr="00E93B65" w:rsidTr="00712C70">
              <w:trPr>
                <w:trHeight w:val="29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64B74" w:rsidRPr="00E93B65" w:rsidRDefault="00264B74" w:rsidP="00C23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4B74" w:rsidRPr="00E93B65" w:rsidRDefault="00264B74" w:rsidP="00C23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B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B74" w:rsidRPr="00E93B65" w:rsidRDefault="00264B74" w:rsidP="00C239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64B74" w:rsidRPr="00CD7374" w:rsidRDefault="00264B74" w:rsidP="00892798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63C" w:rsidRPr="00497E00" w:rsidTr="00712C70">
        <w:trPr>
          <w:trHeight w:val="490"/>
          <w:jc w:val="center"/>
        </w:trPr>
        <w:tc>
          <w:tcPr>
            <w:tcW w:w="559" w:type="dxa"/>
          </w:tcPr>
          <w:p w:rsidR="0042363C" w:rsidRPr="00497E00" w:rsidRDefault="00702EE8" w:rsidP="0089279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2363C"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42363C" w:rsidRPr="00497E00" w:rsidRDefault="003D2DD1" w:rsidP="0089279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3758" w:type="dxa"/>
          </w:tcPr>
          <w:p w:rsidR="0042363C" w:rsidRPr="0081617B" w:rsidRDefault="00F366C4" w:rsidP="00793B9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660093 г</w:t>
            </w:r>
            <w:proofErr w:type="gramStart"/>
            <w:r w:rsidR="00D92C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D92C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расноярск, ул.</w:t>
            </w:r>
            <w:r w:rsidR="00793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Дмитрия Мартынова</w:t>
            </w:r>
            <w:r w:rsidR="00D92C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793B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12(склад)</w:t>
            </w:r>
          </w:p>
        </w:tc>
      </w:tr>
      <w:tr w:rsidR="0042363C" w:rsidRPr="00497E00" w:rsidTr="00712C70">
        <w:trPr>
          <w:trHeight w:val="410"/>
          <w:jc w:val="center"/>
        </w:trPr>
        <w:tc>
          <w:tcPr>
            <w:tcW w:w="559" w:type="dxa"/>
          </w:tcPr>
          <w:p w:rsidR="0042363C" w:rsidRPr="00497E00" w:rsidRDefault="0042363C" w:rsidP="0089279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</w:tcPr>
          <w:p w:rsidR="0042363C" w:rsidRPr="00497E00" w:rsidRDefault="0042363C" w:rsidP="0089279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3758" w:type="dxa"/>
          </w:tcPr>
          <w:p w:rsidR="0042363C" w:rsidRPr="004A1293" w:rsidRDefault="00793B96" w:rsidP="00441B42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C23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41B42">
              <w:rPr>
                <w:rFonts w:ascii="Times New Roman" w:hAnsi="Times New Roman" w:cs="Times New Roman"/>
                <w:u w:val="single"/>
              </w:rPr>
              <w:t>календарных дней</w:t>
            </w:r>
            <w:r w:rsidR="0009415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CB6D79" w:rsidRPr="00497E00" w:rsidTr="00712C70">
        <w:trPr>
          <w:trHeight w:val="1075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товарам, услугам, работам</w:t>
            </w:r>
          </w:p>
        </w:tc>
        <w:tc>
          <w:tcPr>
            <w:tcW w:w="13758" w:type="dxa"/>
          </w:tcPr>
          <w:p w:rsidR="00D46556" w:rsidRPr="00D46556" w:rsidRDefault="00D46556" w:rsidP="00D4655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46556">
              <w:rPr>
                <w:rFonts w:ascii="Times New Roman" w:hAnsi="Times New Roman" w:cs="Times New Roman"/>
              </w:rPr>
              <w:t xml:space="preserve">1. Поставляемый Товар должен быть новым, </w:t>
            </w:r>
            <w:r w:rsidR="00C34887">
              <w:rPr>
                <w:rFonts w:ascii="Times New Roman" w:hAnsi="Times New Roman" w:cs="Times New Roman"/>
              </w:rPr>
              <w:t>не ранее 4 квартала 2021</w:t>
            </w:r>
            <w:r w:rsidRPr="00D46556">
              <w:rPr>
                <w:rFonts w:ascii="Times New Roman" w:hAnsi="Times New Roman" w:cs="Times New Roman"/>
              </w:rPr>
              <w:t xml:space="preserve"> года выпуска (не бывшим в употреблении, не восстановленным), не являться выставочными образцами, свободным от прав третьих лиц. Товар должен быть новым (ранее не находившимся в использовании у Поставщика и (или) у третьих лиц), обеспечивать предусмотренную функциональность. На товаре не должно быть загрязнений, следов повреждений, деформации, а также иных несоответствий официальному техническому описанию товара.</w:t>
            </w:r>
          </w:p>
          <w:p w:rsidR="00D46556" w:rsidRPr="00D46556" w:rsidRDefault="00D46556" w:rsidP="00D4655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46556">
              <w:rPr>
                <w:rFonts w:ascii="Times New Roman" w:hAnsi="Times New Roman" w:cs="Times New Roman"/>
              </w:rPr>
              <w:t>2. Индивидуальная упаковка.</w:t>
            </w:r>
          </w:p>
          <w:p w:rsidR="00CB6D79" w:rsidRPr="00C239B7" w:rsidRDefault="00D46556" w:rsidP="00D465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556">
              <w:rPr>
                <w:rFonts w:ascii="Times New Roman" w:hAnsi="Times New Roman" w:cs="Times New Roman"/>
              </w:rPr>
              <w:t>3. В комплект поставки входят инструкции по эксплуатации и периодической проверке.</w:t>
            </w:r>
          </w:p>
        </w:tc>
      </w:tr>
      <w:tr w:rsidR="00CB6D79" w:rsidRPr="00497E00" w:rsidTr="00712C70">
        <w:trPr>
          <w:trHeight w:val="510"/>
          <w:jc w:val="center"/>
        </w:trPr>
        <w:tc>
          <w:tcPr>
            <w:tcW w:w="559" w:type="dxa"/>
          </w:tcPr>
          <w:p w:rsidR="00CB6D79" w:rsidRPr="00497E00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</w:tcPr>
          <w:p w:rsidR="00CB6D79" w:rsidRPr="00497E00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составу предложений</w:t>
            </w:r>
          </w:p>
        </w:tc>
        <w:tc>
          <w:tcPr>
            <w:tcW w:w="13758" w:type="dxa"/>
          </w:tcPr>
          <w:p w:rsidR="00CB6D79" w:rsidRPr="00F5630B" w:rsidRDefault="00CB6D79" w:rsidP="00793B9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</w:tr>
      <w:tr w:rsidR="00CB6D79" w:rsidRPr="00497E00" w:rsidTr="00712C70">
        <w:trPr>
          <w:trHeight w:val="810"/>
          <w:jc w:val="center"/>
        </w:trPr>
        <w:tc>
          <w:tcPr>
            <w:tcW w:w="559" w:type="dxa"/>
          </w:tcPr>
          <w:p w:rsidR="00CB6D79" w:rsidRPr="00497E00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6" w:type="dxa"/>
          </w:tcPr>
          <w:p w:rsidR="00CB6D79" w:rsidRPr="00497E00" w:rsidRDefault="00CB6D79" w:rsidP="00793B9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руб. с учетом НДС</w:t>
            </w:r>
          </w:p>
        </w:tc>
        <w:tc>
          <w:tcPr>
            <w:tcW w:w="13758" w:type="dxa"/>
            <w:shd w:val="clear" w:color="auto" w:fill="auto"/>
          </w:tcPr>
          <w:p w:rsidR="00CB6D79" w:rsidRPr="00F5630B" w:rsidRDefault="00CB6D79" w:rsidP="00793B9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</w:tr>
      <w:tr w:rsidR="00CB6D79" w:rsidRPr="00497E00" w:rsidTr="00712C70">
        <w:trPr>
          <w:trHeight w:val="546"/>
          <w:jc w:val="center"/>
        </w:trPr>
        <w:tc>
          <w:tcPr>
            <w:tcW w:w="559" w:type="dxa"/>
          </w:tcPr>
          <w:p w:rsidR="00CB6D79" w:rsidRPr="00497E00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</w:tcPr>
          <w:p w:rsidR="00CB6D79" w:rsidRPr="00497E00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товара</w:t>
            </w:r>
          </w:p>
        </w:tc>
        <w:tc>
          <w:tcPr>
            <w:tcW w:w="13758" w:type="dxa"/>
          </w:tcPr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A1293">
              <w:rPr>
                <w:rFonts w:ascii="Times New Roman" w:hAnsi="Times New Roman" w:cs="Times New Roman"/>
              </w:rPr>
              <w:t xml:space="preserve"> Поставляемый товар должен соответствовать обязательным требованиям к его качеству и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безопасности, предусмотренным для товара данного рода действующим законодательством Российской Федерации.</w:t>
            </w:r>
          </w:p>
          <w:p w:rsidR="00CB6D79" w:rsidRPr="004A1293" w:rsidRDefault="00CB6D79" w:rsidP="00CB6D79">
            <w:pPr>
              <w:jc w:val="both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 xml:space="preserve">2. Маркировка поставляемого Товара должна соответствовать требованиям стандартов, установленных действующим законодательством РФ, в том числе: ГОСТ </w:t>
            </w:r>
            <w:proofErr w:type="gramStart"/>
            <w:r w:rsidRPr="004A1293">
              <w:rPr>
                <w:rFonts w:ascii="Times New Roman" w:hAnsi="Times New Roman" w:cs="Times New Roman"/>
              </w:rPr>
              <w:t>Р</w:t>
            </w:r>
            <w:proofErr w:type="gramEnd"/>
            <w:r w:rsidRPr="004A1293">
              <w:rPr>
                <w:rFonts w:ascii="Times New Roman" w:hAnsi="Times New Roman" w:cs="Times New Roman"/>
              </w:rPr>
              <w:t xml:space="preserve"> 51474-99 «Упаковка. Маркировка, указывающая на способ обращения с грузами».</w:t>
            </w:r>
          </w:p>
        </w:tc>
      </w:tr>
      <w:tr w:rsidR="00CB6D79" w:rsidRPr="00497E00" w:rsidTr="00712C70">
        <w:trPr>
          <w:trHeight w:val="546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товара</w:t>
            </w:r>
          </w:p>
        </w:tc>
        <w:tc>
          <w:tcPr>
            <w:tcW w:w="13758" w:type="dxa"/>
          </w:tcPr>
          <w:p w:rsidR="00CB6D79" w:rsidRDefault="00CB6D79" w:rsidP="00CB6D79">
            <w:pPr>
              <w:jc w:val="both"/>
              <w:rPr>
                <w:rFonts w:ascii="Times New Roman" w:hAnsi="Times New Roman" w:cs="Times New Roman"/>
              </w:rPr>
            </w:pPr>
            <w:r w:rsidRPr="003D1D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DF1">
              <w:rPr>
                <w:rFonts w:ascii="Times New Roman" w:hAnsi="Times New Roman" w:cs="Times New Roman"/>
              </w:rPr>
              <w:t xml:space="preserve">Качество и комплектность Товара должны соответствовать настоящему к описанию предмета </w:t>
            </w:r>
            <w:r w:rsidR="00793B96">
              <w:rPr>
                <w:rFonts w:ascii="Times New Roman" w:hAnsi="Times New Roman" w:cs="Times New Roman"/>
              </w:rPr>
              <w:t>поставки</w:t>
            </w:r>
            <w:r w:rsidRPr="003D1DF1">
              <w:rPr>
                <w:rFonts w:ascii="Times New Roman" w:hAnsi="Times New Roman" w:cs="Times New Roman"/>
              </w:rPr>
              <w:t>, назначению Товара, требованиям, предъявляемым к техническим характеристикам Товара в стране производителя, а также действующим в РФ стандартам и техническим условиям.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A1293">
              <w:rPr>
                <w:rFonts w:ascii="Times New Roman" w:hAnsi="Times New Roman" w:cs="Times New Roman"/>
              </w:rPr>
              <w:t xml:space="preserve">Качество товара должно соответствовать </w:t>
            </w:r>
            <w:proofErr w:type="spellStart"/>
            <w:r w:rsidRPr="004A1293">
              <w:rPr>
                <w:rFonts w:ascii="Times New Roman" w:hAnsi="Times New Roman" w:cs="Times New Roman"/>
              </w:rPr>
              <w:t>ГОСТам</w:t>
            </w:r>
            <w:proofErr w:type="spellEnd"/>
            <w:r w:rsidRPr="004A1293">
              <w:rPr>
                <w:rFonts w:ascii="Times New Roman" w:hAnsi="Times New Roman" w:cs="Times New Roman"/>
              </w:rPr>
              <w:t xml:space="preserve">, ТУ, </w:t>
            </w:r>
            <w:proofErr w:type="gramStart"/>
            <w:r w:rsidRPr="004A1293">
              <w:rPr>
                <w:rFonts w:ascii="Times New Roman" w:hAnsi="Times New Roman" w:cs="Times New Roman"/>
              </w:rPr>
              <w:t>действующим</w:t>
            </w:r>
            <w:proofErr w:type="gramEnd"/>
            <w:r w:rsidRPr="004A1293">
              <w:rPr>
                <w:rFonts w:ascii="Times New Roman" w:hAnsi="Times New Roman" w:cs="Times New Roman"/>
              </w:rPr>
              <w:t xml:space="preserve"> на момент поставки, и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lastRenderedPageBreak/>
              <w:t xml:space="preserve">подтверждаться надлежащим образом оформленными сопроводительными </w:t>
            </w:r>
            <w:r>
              <w:rPr>
                <w:rFonts w:ascii="Times New Roman" w:hAnsi="Times New Roman" w:cs="Times New Roman"/>
              </w:rPr>
              <w:t>документами,</w:t>
            </w:r>
          </w:p>
        </w:tc>
      </w:tr>
      <w:tr w:rsidR="00CB6D79" w:rsidRPr="00497E00" w:rsidTr="00712C70">
        <w:trPr>
          <w:trHeight w:val="546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упаковке товара</w:t>
            </w:r>
          </w:p>
        </w:tc>
        <w:tc>
          <w:tcPr>
            <w:tcW w:w="13758" w:type="dxa"/>
          </w:tcPr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 xml:space="preserve">1. Товар должен быть упакован способом и средствами, обеспечивающими его длительное хранение, защиту от повреждения, попадания влаги и потерь во время транспортировки, доставки и погрузочно-разгрузочных работ. 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2. Упаковка поставляемого Товара должна соответствовать требованиям стандартов, установленных действующим законодательством РФ.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3. Маркировка упаковки должна строго соответствовать маркировке Товара.</w:t>
            </w:r>
          </w:p>
        </w:tc>
      </w:tr>
      <w:tr w:rsidR="00CB6D79" w:rsidRPr="00497E00" w:rsidTr="00712C70">
        <w:trPr>
          <w:trHeight w:val="546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отгрузке товара</w:t>
            </w:r>
          </w:p>
        </w:tc>
        <w:tc>
          <w:tcPr>
            <w:tcW w:w="13758" w:type="dxa"/>
          </w:tcPr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1 Дата доставки товара должна быть предварительно согласована с Заказчиком. Поставщик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4A1293">
              <w:rPr>
                <w:rFonts w:ascii="Times New Roman" w:hAnsi="Times New Roman" w:cs="Times New Roman"/>
              </w:rPr>
              <w:t>обязан</w:t>
            </w:r>
            <w:proofErr w:type="gramEnd"/>
            <w:r w:rsidRPr="004A1293">
              <w:rPr>
                <w:rFonts w:ascii="Times New Roman" w:hAnsi="Times New Roman" w:cs="Times New Roman"/>
              </w:rPr>
              <w:t xml:space="preserve"> известить Заказчика о готовности товара к отгрузке не позднее, чем за 2 (два) рабочих дня до отгрузки.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2 Отгрузка, доставка товара и выполнение погрузочно-разгрузочных работ выполняется силами</w:t>
            </w:r>
          </w:p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Поставщика и за его счет. Погрузочно-разгрузочные работы выполняются Поставщиком в соответствии с рекомендациями производителя, представленными в эксплуатационной документации.</w:t>
            </w:r>
          </w:p>
        </w:tc>
      </w:tr>
      <w:tr w:rsidR="00CB6D79" w:rsidRPr="00497E00" w:rsidTr="00712C70">
        <w:trPr>
          <w:trHeight w:val="790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транспортировке товара</w:t>
            </w:r>
          </w:p>
        </w:tc>
        <w:tc>
          <w:tcPr>
            <w:tcW w:w="13758" w:type="dxa"/>
          </w:tcPr>
          <w:p w:rsidR="00CB6D79" w:rsidRPr="004A1293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>Транспортировка осуществляется автомобильным транспортом,</w:t>
            </w:r>
            <w:r w:rsidR="00793B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93B96">
              <w:rPr>
                <w:rFonts w:ascii="Times New Roman" w:hAnsi="Times New Roman" w:cs="Times New Roman"/>
              </w:rPr>
              <w:t>жд</w:t>
            </w:r>
            <w:proofErr w:type="spellEnd"/>
            <w:r w:rsidR="00793B96">
              <w:rPr>
                <w:rFonts w:ascii="Times New Roman" w:hAnsi="Times New Roman" w:cs="Times New Roman"/>
              </w:rPr>
              <w:t xml:space="preserve"> транспортом,</w:t>
            </w:r>
            <w:r w:rsidRPr="004A1293">
              <w:rPr>
                <w:rFonts w:ascii="Times New Roman" w:hAnsi="Times New Roman" w:cs="Times New Roman"/>
              </w:rPr>
              <w:t xml:space="preserve"> обеспечивающим сохранность изделия и упаковки от механических повреждений и воздействия атмосферных осадков.</w:t>
            </w:r>
          </w:p>
        </w:tc>
      </w:tr>
      <w:tr w:rsidR="00CB6D79" w:rsidRPr="00497E00" w:rsidTr="00712C70">
        <w:trPr>
          <w:trHeight w:val="546"/>
          <w:jc w:val="center"/>
        </w:trPr>
        <w:tc>
          <w:tcPr>
            <w:tcW w:w="559" w:type="dxa"/>
          </w:tcPr>
          <w:p w:rsidR="00CB6D79" w:rsidRDefault="00CB6D79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6" w:type="dxa"/>
          </w:tcPr>
          <w:p w:rsidR="00CB6D79" w:rsidRDefault="00CB6D79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правилам сдачи и приемки товара</w:t>
            </w:r>
          </w:p>
        </w:tc>
        <w:tc>
          <w:tcPr>
            <w:tcW w:w="13758" w:type="dxa"/>
          </w:tcPr>
          <w:p w:rsidR="00CB6D79" w:rsidRPr="004A1293" w:rsidRDefault="00CB6D79" w:rsidP="00D46556">
            <w:pPr>
              <w:shd w:val="clear" w:color="auto" w:fill="FFFFFF"/>
              <w:ind w:left="3"/>
              <w:jc w:val="both"/>
              <w:rPr>
                <w:rFonts w:ascii="Times New Roman" w:hAnsi="Times New Roman" w:cs="Times New Roman"/>
              </w:rPr>
            </w:pPr>
            <w:r w:rsidRPr="004A1293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4A1293">
              <w:rPr>
                <w:rFonts w:ascii="Times New Roman" w:hAnsi="Times New Roman" w:cs="Times New Roman"/>
              </w:rPr>
              <w:t>Поставляемый Товар должен соответствовать условиям Договора, требованиям нормативной документации, а также требованиям, указанным в согласованной Сторонами в Спецификации, в которой указывается наименование и номенклатура Товара, цена за единицу, общая стоимость Товара (партии Товара), его количество, подписи уполномоченных лиц, печати.</w:t>
            </w:r>
            <w:proofErr w:type="gramEnd"/>
            <w:r w:rsidRPr="004A1293">
              <w:rPr>
                <w:rFonts w:ascii="Times New Roman" w:hAnsi="Times New Roman" w:cs="Times New Roman"/>
              </w:rPr>
              <w:t xml:space="preserve"> Качество Товара удостоверяется паспортом (сертификатом) качества, а также иными документами, предусмотренными действующим законодательством, подтверждающими качество товара. </w:t>
            </w:r>
          </w:p>
        </w:tc>
      </w:tr>
      <w:tr w:rsidR="00982E00" w:rsidRPr="00497E00" w:rsidTr="00712C70">
        <w:trPr>
          <w:trHeight w:val="546"/>
          <w:jc w:val="center"/>
        </w:trPr>
        <w:tc>
          <w:tcPr>
            <w:tcW w:w="559" w:type="dxa"/>
          </w:tcPr>
          <w:p w:rsidR="00982E00" w:rsidRDefault="00982E00" w:rsidP="00CB6D7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6" w:type="dxa"/>
          </w:tcPr>
          <w:p w:rsidR="00982E00" w:rsidRDefault="00982E00" w:rsidP="00CB6D7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3758" w:type="dxa"/>
          </w:tcPr>
          <w:p w:rsidR="00982E00" w:rsidRPr="00982E00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982E00">
              <w:rPr>
                <w:rFonts w:ascii="Times New Roman" w:hAnsi="Times New Roman" w:cs="Times New Roman"/>
              </w:rPr>
              <w:t>Технические средства должны быть изготовлены производителем в виде законченных укомплектованных изделий, для установки которых на месте эксплуатации достаточно указаний, приведенных в эксплуатационной документации, в которой нормированы метрологические характеристики измерительных каналов системы.</w:t>
            </w:r>
          </w:p>
          <w:p w:rsidR="00982E00" w:rsidRPr="00982E00" w:rsidRDefault="00982E00" w:rsidP="002B1A64">
            <w:pPr>
              <w:shd w:val="clear" w:color="auto" w:fill="FFFFFF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982E00">
              <w:rPr>
                <w:rFonts w:ascii="Times New Roman" w:hAnsi="Times New Roman" w:cs="Times New Roman"/>
              </w:rPr>
              <w:t xml:space="preserve">Счетчики электрической энергии должны соответствовать требованиям действующего законодательства РФ в области коммерческого учета электроэнергии согласно ПП РФ № 442 от 04.05.2012, а также требованиям ПП РФ № 890 от 19.06.2020. </w:t>
            </w:r>
          </w:p>
          <w:p w:rsidR="00982E00" w:rsidRPr="00982E00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982E00">
              <w:rPr>
                <w:rFonts w:ascii="Times New Roman" w:hAnsi="Times New Roman" w:cs="Times New Roman"/>
              </w:rPr>
              <w:t xml:space="preserve">Оборудование должно поддерживать стандартизированный протокол передачи данных согласно приказу Министерства цифрового развития, связи и массовых коммуникаций Российской Федерации № 788 от 30.12.2020, а также интегрироваться напрямую (без промежуточного </w:t>
            </w:r>
            <w:proofErr w:type="gramStart"/>
            <w:r w:rsidRPr="00982E00">
              <w:rPr>
                <w:rFonts w:ascii="Times New Roman" w:hAnsi="Times New Roman" w:cs="Times New Roman"/>
              </w:rPr>
              <w:t>ПО</w:t>
            </w:r>
            <w:proofErr w:type="gramEnd"/>
            <w:r w:rsidRPr="00982E00">
              <w:rPr>
                <w:rFonts w:ascii="Times New Roman" w:hAnsi="Times New Roman" w:cs="Times New Roman"/>
              </w:rPr>
              <w:t>) в информационно-вычислительный комплекс верхнего уровня «Пирамида 2.0».</w:t>
            </w:r>
          </w:p>
          <w:p w:rsidR="002B1A64" w:rsidRPr="004B3AB9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982E00">
              <w:rPr>
                <w:rFonts w:ascii="Times New Roman" w:hAnsi="Times New Roman" w:cs="Times New Roman"/>
              </w:rPr>
              <w:t>Интеллектуальные приборы учета электроэнергии должны быть запрограммированы на Красноярское время (GMT +07) без сезонного перевода, а также не должны нуждаться в дополнительном программировании и конфигурировании перед установкой.</w:t>
            </w:r>
            <w:r w:rsidR="00770F00">
              <w:rPr>
                <w:rFonts w:ascii="Times New Roman" w:hAnsi="Times New Roman" w:cs="Times New Roman"/>
              </w:rPr>
              <w:t xml:space="preserve"> </w:t>
            </w:r>
            <w:r w:rsidR="00770F00" w:rsidRPr="004B3AB9">
              <w:rPr>
                <w:rFonts w:ascii="Times New Roman" w:hAnsi="Times New Roman" w:cs="Times New Roman"/>
              </w:rPr>
              <w:t>Каждый счетчик должен иметь уникальный пароль для уровня «Запись»</w:t>
            </w:r>
            <w:r w:rsidR="00293DFD" w:rsidRPr="004B3AB9">
              <w:rPr>
                <w:rFonts w:ascii="Times New Roman" w:hAnsi="Times New Roman" w:cs="Times New Roman"/>
              </w:rPr>
              <w:t xml:space="preserve"> или «Управление»,</w:t>
            </w:r>
            <w:r w:rsidR="00D87D8D" w:rsidRPr="004B3AB9">
              <w:rPr>
                <w:rFonts w:ascii="Times New Roman" w:hAnsi="Times New Roman" w:cs="Times New Roman"/>
              </w:rPr>
              <w:t xml:space="preserve"> или аналогичного</w:t>
            </w:r>
            <w:r w:rsidR="00770F00" w:rsidRPr="004B3AB9">
              <w:rPr>
                <w:rFonts w:ascii="Times New Roman" w:hAnsi="Times New Roman" w:cs="Times New Roman"/>
              </w:rPr>
              <w:t xml:space="preserve"> и состоять из цифр, строчных и прописных латинский букв.</w:t>
            </w:r>
            <w:r w:rsidR="00D87D8D" w:rsidRPr="004B3AB9">
              <w:rPr>
                <w:rFonts w:ascii="Times New Roman" w:hAnsi="Times New Roman" w:cs="Times New Roman"/>
              </w:rPr>
              <w:t xml:space="preserve"> </w:t>
            </w:r>
          </w:p>
          <w:p w:rsidR="00982E00" w:rsidRPr="004B3AB9" w:rsidRDefault="00D87D8D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4B3AB9">
              <w:rPr>
                <w:rFonts w:ascii="Times New Roman" w:hAnsi="Times New Roman" w:cs="Times New Roman"/>
              </w:rPr>
              <w:t>Адрес СПОДЭС должен быть равен трем последним цифрам заводского номера прибора учета</w:t>
            </w:r>
            <w:r w:rsidR="002B1A64" w:rsidRPr="004B3AB9">
              <w:rPr>
                <w:rFonts w:ascii="Times New Roman" w:hAnsi="Times New Roman" w:cs="Times New Roman"/>
              </w:rPr>
              <w:t xml:space="preserve"> в диапазоне от 20 до 255. Е</w:t>
            </w:r>
            <w:r w:rsidRPr="004B3AB9">
              <w:rPr>
                <w:rFonts w:ascii="Times New Roman" w:hAnsi="Times New Roman" w:cs="Times New Roman"/>
              </w:rPr>
              <w:t>сли три последний цифры заводского номера более 255,</w:t>
            </w:r>
            <w:r w:rsidR="002B1A64" w:rsidRPr="004B3AB9">
              <w:rPr>
                <w:rFonts w:ascii="Times New Roman" w:hAnsi="Times New Roman" w:cs="Times New Roman"/>
              </w:rPr>
              <w:t xml:space="preserve"> то первую из этих цифр заменить на 0. Е</w:t>
            </w:r>
            <w:r w:rsidRPr="004B3AB9">
              <w:rPr>
                <w:rFonts w:ascii="Times New Roman" w:hAnsi="Times New Roman" w:cs="Times New Roman"/>
              </w:rPr>
              <w:t>сли три последние циф</w:t>
            </w:r>
            <w:r w:rsidR="002B1A64" w:rsidRPr="004B3AB9">
              <w:rPr>
                <w:rFonts w:ascii="Times New Roman" w:hAnsi="Times New Roman" w:cs="Times New Roman"/>
              </w:rPr>
              <w:t xml:space="preserve">ры заводского номера менее </w:t>
            </w:r>
            <w:r w:rsidRPr="004B3AB9">
              <w:rPr>
                <w:rFonts w:ascii="Times New Roman" w:hAnsi="Times New Roman" w:cs="Times New Roman"/>
              </w:rPr>
              <w:t xml:space="preserve">20, то добавить к адресу </w:t>
            </w:r>
            <w:r w:rsidR="002B1A64" w:rsidRPr="004B3AB9">
              <w:rPr>
                <w:rFonts w:ascii="Times New Roman" w:hAnsi="Times New Roman" w:cs="Times New Roman"/>
              </w:rPr>
              <w:t xml:space="preserve">плюс </w:t>
            </w:r>
            <w:r w:rsidRPr="004B3AB9">
              <w:rPr>
                <w:rFonts w:ascii="Times New Roman" w:hAnsi="Times New Roman" w:cs="Times New Roman"/>
              </w:rPr>
              <w:t>100</w:t>
            </w:r>
            <w:r w:rsidR="002B1A64" w:rsidRPr="004B3AB9">
              <w:rPr>
                <w:rFonts w:ascii="Times New Roman" w:hAnsi="Times New Roman" w:cs="Times New Roman"/>
              </w:rPr>
              <w:t>.</w:t>
            </w:r>
          </w:p>
          <w:p w:rsidR="00982E00" w:rsidRPr="004B3AB9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4B3AB9">
              <w:rPr>
                <w:rFonts w:ascii="Times New Roman" w:hAnsi="Times New Roman" w:cs="Times New Roman"/>
              </w:rPr>
              <w:t>Приборы учета должны быть сертифицированы и внесены в Государственный реестр средств измерений РФ.</w:t>
            </w:r>
          </w:p>
          <w:p w:rsidR="00982E00" w:rsidRPr="004B3AB9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4B3AB9">
              <w:rPr>
                <w:rFonts w:ascii="Times New Roman" w:hAnsi="Times New Roman" w:cs="Times New Roman"/>
              </w:rPr>
              <w:t>Счетчики не должны нуждаться в дополнительном электропитании для выполнения всех своих функций, в том числе, и для встроенных модулей передачи данных и цифровых интерфейсов.</w:t>
            </w:r>
          </w:p>
          <w:p w:rsidR="00982E00" w:rsidRPr="004B3AB9" w:rsidRDefault="00982E00" w:rsidP="002B1A64">
            <w:pPr>
              <w:shd w:val="clear" w:color="auto" w:fill="FFFFFF"/>
              <w:spacing w:line="240" w:lineRule="auto"/>
              <w:ind w:left="3"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4B3AB9">
              <w:rPr>
                <w:rFonts w:ascii="Times New Roman" w:hAnsi="Times New Roman" w:cs="Times New Roman"/>
              </w:rPr>
              <w:t>Все оборудование должно сопровождаться бесплатным технологическим программным обеспечением для конфигурирования и просмотра данных.</w:t>
            </w:r>
          </w:p>
          <w:p w:rsidR="0053375F" w:rsidRPr="004B3AB9" w:rsidRDefault="0053375F" w:rsidP="002B1A64">
            <w:pPr>
              <w:shd w:val="clear" w:color="auto" w:fill="FFFFFF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4B3AB9">
              <w:rPr>
                <w:rFonts w:ascii="Times New Roman" w:hAnsi="Times New Roman" w:cs="Times New Roman"/>
              </w:rPr>
              <w:t xml:space="preserve">Встроенные или сменные GSM/GPRS-модули счётчиков электрической энергии должны быть </w:t>
            </w:r>
            <w:r w:rsidR="008E732B" w:rsidRPr="004B3AB9">
              <w:rPr>
                <w:rFonts w:ascii="Times New Roman" w:hAnsi="Times New Roman" w:cs="Times New Roman"/>
              </w:rPr>
              <w:t xml:space="preserve">запрограммированы.  Параметры настроек будут предоставлены </w:t>
            </w:r>
            <w:r w:rsidR="002B1A64" w:rsidRPr="004B3AB9">
              <w:rPr>
                <w:rFonts w:ascii="Times New Roman" w:hAnsi="Times New Roman" w:cs="Times New Roman"/>
              </w:rPr>
              <w:t xml:space="preserve">после </w:t>
            </w:r>
            <w:r w:rsidR="00D9348B">
              <w:rPr>
                <w:rFonts w:ascii="Times New Roman" w:hAnsi="Times New Roman" w:cs="Times New Roman"/>
              </w:rPr>
              <w:t>окончательного выбора поставщика</w:t>
            </w:r>
            <w:r w:rsidR="002B1A64" w:rsidRPr="004B3AB9">
              <w:rPr>
                <w:rFonts w:ascii="Times New Roman" w:hAnsi="Times New Roman" w:cs="Times New Roman"/>
              </w:rPr>
              <w:t>.</w:t>
            </w:r>
          </w:p>
          <w:p w:rsidR="00293DFD" w:rsidRPr="004B3AB9" w:rsidRDefault="00293DFD" w:rsidP="002B1A64">
            <w:pPr>
              <w:shd w:val="clear" w:color="auto" w:fill="FFFFFF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93DFD" w:rsidRPr="004B3AB9" w:rsidRDefault="00293DFD" w:rsidP="002B1A64">
            <w:pPr>
              <w:shd w:val="clear" w:color="auto" w:fill="FFFFFF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375F" w:rsidRPr="004A1293" w:rsidRDefault="00976D91" w:rsidP="00976D91">
            <w:pPr>
              <w:shd w:val="clear" w:color="auto" w:fill="FFFFFF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</w:rPr>
            </w:pPr>
            <w:r w:rsidRPr="00A60FF9">
              <w:rPr>
                <w:rFonts w:ascii="Times New Roman" w:hAnsi="Times New Roman" w:cs="Times New Roman"/>
              </w:rPr>
              <w:lastRenderedPageBreak/>
              <w:t>К отгрузочным документам (ф. № ТОРГ-12), универсальному передаточному документу (в случае применения поставщиком)</w:t>
            </w:r>
            <w:r w:rsidR="0035409B" w:rsidRPr="00A60FF9">
              <w:rPr>
                <w:rFonts w:ascii="Times New Roman" w:hAnsi="Times New Roman" w:cs="Times New Roman"/>
              </w:rPr>
              <w:t xml:space="preserve"> должен быть приложен реестр</w:t>
            </w:r>
            <w:r w:rsidR="00752EBB" w:rsidRPr="00A60FF9">
              <w:rPr>
                <w:rFonts w:ascii="Times New Roman" w:hAnsi="Times New Roman" w:cs="Times New Roman"/>
              </w:rPr>
              <w:t xml:space="preserve"> </w:t>
            </w:r>
            <w:r w:rsidR="0053375F" w:rsidRPr="00A60FF9">
              <w:rPr>
                <w:rFonts w:ascii="Times New Roman" w:hAnsi="Times New Roman" w:cs="Times New Roman"/>
              </w:rPr>
              <w:t xml:space="preserve">с заводскими номерами поставляемых счетчиков электрической </w:t>
            </w:r>
            <w:r w:rsidRPr="00A60FF9">
              <w:rPr>
                <w:rFonts w:ascii="Times New Roman" w:hAnsi="Times New Roman" w:cs="Times New Roman"/>
              </w:rPr>
              <w:t>энергии и</w:t>
            </w:r>
            <w:r w:rsidR="0053375F" w:rsidRPr="00A60FF9">
              <w:rPr>
                <w:rFonts w:ascii="Times New Roman" w:hAnsi="Times New Roman" w:cs="Times New Roman"/>
              </w:rPr>
              <w:t xml:space="preserve"> внешних дисплеев</w:t>
            </w:r>
            <w:r w:rsidR="00D87D8D" w:rsidRPr="00A60FF9">
              <w:rPr>
                <w:rFonts w:ascii="Times New Roman" w:hAnsi="Times New Roman" w:cs="Times New Roman"/>
              </w:rPr>
              <w:t>, а также уникальные пароли и адреса СПОДЭС</w:t>
            </w:r>
            <w:r w:rsidR="00770F00" w:rsidRPr="00A60FF9">
              <w:rPr>
                <w:rFonts w:ascii="Times New Roman" w:hAnsi="Times New Roman" w:cs="Times New Roman"/>
              </w:rPr>
              <w:t xml:space="preserve"> приборов учета</w:t>
            </w:r>
            <w:r w:rsidRPr="00A60FF9">
              <w:rPr>
                <w:rFonts w:ascii="Times New Roman" w:hAnsi="Times New Roman" w:cs="Times New Roman"/>
              </w:rPr>
              <w:t xml:space="preserve">. </w:t>
            </w:r>
            <w:r w:rsidR="008652A3" w:rsidRPr="00A60FF9">
              <w:rPr>
                <w:rFonts w:ascii="Times New Roman" w:hAnsi="Times New Roman" w:cs="Times New Roman"/>
              </w:rPr>
              <w:t>Форма реестра определяется между заказчиком и поставщиком дополнительно.</w:t>
            </w:r>
            <w:r w:rsidR="008652A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276A9" w:rsidRDefault="00E276A9" w:rsidP="0089279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FD" w:rsidRDefault="00D250AD" w:rsidP="00D93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9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76A9" w:rsidRPr="00E276A9" w:rsidRDefault="00E276A9" w:rsidP="00E276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76A9" w:rsidRPr="00E276A9" w:rsidSect="00892798">
      <w:pgSz w:w="16838" w:h="11906" w:orient="landscape"/>
      <w:pgMar w:top="284" w:right="284" w:bottom="284" w:left="28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7C" w:rsidRDefault="00DD427C" w:rsidP="00AE793C">
      <w:pPr>
        <w:spacing w:after="0" w:line="240" w:lineRule="auto"/>
      </w:pPr>
      <w:r>
        <w:separator/>
      </w:r>
    </w:p>
  </w:endnote>
  <w:endnote w:type="continuationSeparator" w:id="0">
    <w:p w:rsidR="00DD427C" w:rsidRDefault="00DD427C" w:rsidP="00AE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7C" w:rsidRDefault="00DD427C" w:rsidP="00AE793C">
      <w:pPr>
        <w:spacing w:after="0" w:line="240" w:lineRule="auto"/>
      </w:pPr>
      <w:r>
        <w:separator/>
      </w:r>
    </w:p>
  </w:footnote>
  <w:footnote w:type="continuationSeparator" w:id="0">
    <w:p w:rsidR="00DD427C" w:rsidRDefault="00DD427C" w:rsidP="00AE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F66"/>
    <w:multiLevelType w:val="multilevel"/>
    <w:tmpl w:val="18A60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B93"/>
    <w:multiLevelType w:val="multilevel"/>
    <w:tmpl w:val="4D4854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BA8"/>
    <w:multiLevelType w:val="multilevel"/>
    <w:tmpl w:val="C93CB1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4080D"/>
    <w:multiLevelType w:val="hybridMultilevel"/>
    <w:tmpl w:val="36D0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17451"/>
    <w:multiLevelType w:val="hybridMultilevel"/>
    <w:tmpl w:val="3A08D364"/>
    <w:lvl w:ilvl="0" w:tplc="2EB8A13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0C1AF1"/>
    <w:multiLevelType w:val="hybridMultilevel"/>
    <w:tmpl w:val="6FC6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00AE"/>
    <w:multiLevelType w:val="multilevel"/>
    <w:tmpl w:val="A78085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44954"/>
    <w:multiLevelType w:val="hybridMultilevel"/>
    <w:tmpl w:val="AF9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57CB"/>
    <w:multiLevelType w:val="hybridMultilevel"/>
    <w:tmpl w:val="8D72E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B74A37"/>
    <w:multiLevelType w:val="multilevel"/>
    <w:tmpl w:val="E0EE9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D4FAB"/>
    <w:multiLevelType w:val="hybridMultilevel"/>
    <w:tmpl w:val="32A4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503576"/>
    <w:multiLevelType w:val="multilevel"/>
    <w:tmpl w:val="E0EE9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63A54"/>
    <w:multiLevelType w:val="hybridMultilevel"/>
    <w:tmpl w:val="6FDA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20B98"/>
    <w:multiLevelType w:val="hybridMultilevel"/>
    <w:tmpl w:val="E542C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8B7C75"/>
    <w:multiLevelType w:val="hybridMultilevel"/>
    <w:tmpl w:val="D20A3FC8"/>
    <w:lvl w:ilvl="0" w:tplc="BBFA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F45DFC"/>
    <w:multiLevelType w:val="multilevel"/>
    <w:tmpl w:val="4DDC69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6">
    <w:nsid w:val="7A973EEA"/>
    <w:multiLevelType w:val="hybridMultilevel"/>
    <w:tmpl w:val="933E1E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19AD"/>
    <w:rsid w:val="00031D5D"/>
    <w:rsid w:val="00037CF1"/>
    <w:rsid w:val="00056782"/>
    <w:rsid w:val="00065544"/>
    <w:rsid w:val="00076A05"/>
    <w:rsid w:val="00077141"/>
    <w:rsid w:val="00081501"/>
    <w:rsid w:val="00094158"/>
    <w:rsid w:val="000A4889"/>
    <w:rsid w:val="000B40D4"/>
    <w:rsid w:val="000C4041"/>
    <w:rsid w:val="000C4252"/>
    <w:rsid w:val="000C7B75"/>
    <w:rsid w:val="000D1564"/>
    <w:rsid w:val="000D1D7F"/>
    <w:rsid w:val="000E39F2"/>
    <w:rsid w:val="001004D9"/>
    <w:rsid w:val="00100B1F"/>
    <w:rsid w:val="0010750D"/>
    <w:rsid w:val="001227C8"/>
    <w:rsid w:val="001369F2"/>
    <w:rsid w:val="00150E2B"/>
    <w:rsid w:val="00155AD3"/>
    <w:rsid w:val="00177484"/>
    <w:rsid w:val="00182DBF"/>
    <w:rsid w:val="001A3B80"/>
    <w:rsid w:val="001A4AFD"/>
    <w:rsid w:val="001B6595"/>
    <w:rsid w:val="001C514E"/>
    <w:rsid w:val="001D06C5"/>
    <w:rsid w:val="001E0AEC"/>
    <w:rsid w:val="001E1B87"/>
    <w:rsid w:val="001E6517"/>
    <w:rsid w:val="001E774F"/>
    <w:rsid w:val="001F39D2"/>
    <w:rsid w:val="001F6CB1"/>
    <w:rsid w:val="00201E80"/>
    <w:rsid w:val="002058DD"/>
    <w:rsid w:val="00205E1B"/>
    <w:rsid w:val="00221833"/>
    <w:rsid w:val="00226888"/>
    <w:rsid w:val="002449BF"/>
    <w:rsid w:val="0025400D"/>
    <w:rsid w:val="00264B74"/>
    <w:rsid w:val="002661AA"/>
    <w:rsid w:val="00281ECF"/>
    <w:rsid w:val="002872E3"/>
    <w:rsid w:val="00287C5B"/>
    <w:rsid w:val="00293DFD"/>
    <w:rsid w:val="002960E0"/>
    <w:rsid w:val="002972AE"/>
    <w:rsid w:val="002A47DF"/>
    <w:rsid w:val="002A7777"/>
    <w:rsid w:val="002B1A64"/>
    <w:rsid w:val="002B6DC7"/>
    <w:rsid w:val="002C6E61"/>
    <w:rsid w:val="002E0192"/>
    <w:rsid w:val="002E2A39"/>
    <w:rsid w:val="002F6E76"/>
    <w:rsid w:val="00307882"/>
    <w:rsid w:val="00315C59"/>
    <w:rsid w:val="0033256A"/>
    <w:rsid w:val="00340597"/>
    <w:rsid w:val="003535A9"/>
    <w:rsid w:val="0035409B"/>
    <w:rsid w:val="00367C39"/>
    <w:rsid w:val="003941B8"/>
    <w:rsid w:val="00397CCA"/>
    <w:rsid w:val="003C1696"/>
    <w:rsid w:val="003D1DF1"/>
    <w:rsid w:val="003D2DD1"/>
    <w:rsid w:val="0040335B"/>
    <w:rsid w:val="004067C1"/>
    <w:rsid w:val="004146F9"/>
    <w:rsid w:val="00417150"/>
    <w:rsid w:val="0042285C"/>
    <w:rsid w:val="0042363C"/>
    <w:rsid w:val="00425886"/>
    <w:rsid w:val="00432771"/>
    <w:rsid w:val="0043619F"/>
    <w:rsid w:val="004376E6"/>
    <w:rsid w:val="00441B42"/>
    <w:rsid w:val="00446250"/>
    <w:rsid w:val="00452BF3"/>
    <w:rsid w:val="00452D89"/>
    <w:rsid w:val="004916B7"/>
    <w:rsid w:val="00497E00"/>
    <w:rsid w:val="004A1293"/>
    <w:rsid w:val="004B3AB9"/>
    <w:rsid w:val="004B4832"/>
    <w:rsid w:val="004C189D"/>
    <w:rsid w:val="004F1EC1"/>
    <w:rsid w:val="00502FE9"/>
    <w:rsid w:val="00504E7D"/>
    <w:rsid w:val="005120A3"/>
    <w:rsid w:val="0051601D"/>
    <w:rsid w:val="0053375F"/>
    <w:rsid w:val="00544966"/>
    <w:rsid w:val="00544CC6"/>
    <w:rsid w:val="005475D2"/>
    <w:rsid w:val="005525D9"/>
    <w:rsid w:val="00571334"/>
    <w:rsid w:val="00583CEE"/>
    <w:rsid w:val="005845CE"/>
    <w:rsid w:val="005866D4"/>
    <w:rsid w:val="005A7C39"/>
    <w:rsid w:val="005B0092"/>
    <w:rsid w:val="005B72B3"/>
    <w:rsid w:val="005D6815"/>
    <w:rsid w:val="005F7FE0"/>
    <w:rsid w:val="006009C6"/>
    <w:rsid w:val="00644064"/>
    <w:rsid w:val="006449CB"/>
    <w:rsid w:val="0064738A"/>
    <w:rsid w:val="00665017"/>
    <w:rsid w:val="00670DE9"/>
    <w:rsid w:val="006826B3"/>
    <w:rsid w:val="006826C3"/>
    <w:rsid w:val="0068365E"/>
    <w:rsid w:val="00687988"/>
    <w:rsid w:val="006966CD"/>
    <w:rsid w:val="006A3F79"/>
    <w:rsid w:val="006B4205"/>
    <w:rsid w:val="006B4D08"/>
    <w:rsid w:val="006B78C6"/>
    <w:rsid w:val="006D4693"/>
    <w:rsid w:val="006D648B"/>
    <w:rsid w:val="006F0DC2"/>
    <w:rsid w:val="00702EE8"/>
    <w:rsid w:val="007045CA"/>
    <w:rsid w:val="00711B3C"/>
    <w:rsid w:val="00712C70"/>
    <w:rsid w:val="00713EC0"/>
    <w:rsid w:val="007321FF"/>
    <w:rsid w:val="0073788D"/>
    <w:rsid w:val="00747FD1"/>
    <w:rsid w:val="00752EBB"/>
    <w:rsid w:val="00753C9E"/>
    <w:rsid w:val="007701D1"/>
    <w:rsid w:val="00770F00"/>
    <w:rsid w:val="00776BFD"/>
    <w:rsid w:val="00782F74"/>
    <w:rsid w:val="00793B96"/>
    <w:rsid w:val="007A1711"/>
    <w:rsid w:val="007A4E99"/>
    <w:rsid w:val="007B27BC"/>
    <w:rsid w:val="007C208F"/>
    <w:rsid w:val="007F2235"/>
    <w:rsid w:val="0080792D"/>
    <w:rsid w:val="008120F3"/>
    <w:rsid w:val="0081617B"/>
    <w:rsid w:val="00835806"/>
    <w:rsid w:val="00840F6F"/>
    <w:rsid w:val="00842BF9"/>
    <w:rsid w:val="00851876"/>
    <w:rsid w:val="0085534E"/>
    <w:rsid w:val="00860621"/>
    <w:rsid w:val="00861DBC"/>
    <w:rsid w:val="008652A3"/>
    <w:rsid w:val="008719AD"/>
    <w:rsid w:val="00892798"/>
    <w:rsid w:val="00896441"/>
    <w:rsid w:val="008A5D65"/>
    <w:rsid w:val="008B306E"/>
    <w:rsid w:val="008B5428"/>
    <w:rsid w:val="008E732B"/>
    <w:rsid w:val="008F0668"/>
    <w:rsid w:val="008F1404"/>
    <w:rsid w:val="00907F39"/>
    <w:rsid w:val="00917C73"/>
    <w:rsid w:val="00966E2E"/>
    <w:rsid w:val="00967352"/>
    <w:rsid w:val="00970F4C"/>
    <w:rsid w:val="0097541C"/>
    <w:rsid w:val="00976D91"/>
    <w:rsid w:val="00981919"/>
    <w:rsid w:val="00982E00"/>
    <w:rsid w:val="009833A2"/>
    <w:rsid w:val="0098409A"/>
    <w:rsid w:val="009858D3"/>
    <w:rsid w:val="00985D8F"/>
    <w:rsid w:val="00994B3F"/>
    <w:rsid w:val="009A1FE1"/>
    <w:rsid w:val="009B0A66"/>
    <w:rsid w:val="009B7AE8"/>
    <w:rsid w:val="009C08B9"/>
    <w:rsid w:val="009C3622"/>
    <w:rsid w:val="009E77E6"/>
    <w:rsid w:val="00A16623"/>
    <w:rsid w:val="00A46AFC"/>
    <w:rsid w:val="00A60FF9"/>
    <w:rsid w:val="00A8276D"/>
    <w:rsid w:val="00A90A58"/>
    <w:rsid w:val="00A92BE9"/>
    <w:rsid w:val="00A92E1B"/>
    <w:rsid w:val="00AA346F"/>
    <w:rsid w:val="00AA5E6B"/>
    <w:rsid w:val="00AA632D"/>
    <w:rsid w:val="00AC699C"/>
    <w:rsid w:val="00AD150E"/>
    <w:rsid w:val="00AE793C"/>
    <w:rsid w:val="00AF0560"/>
    <w:rsid w:val="00AF3FD3"/>
    <w:rsid w:val="00B05F5C"/>
    <w:rsid w:val="00B26851"/>
    <w:rsid w:val="00B35367"/>
    <w:rsid w:val="00B64E48"/>
    <w:rsid w:val="00B65DAF"/>
    <w:rsid w:val="00B73471"/>
    <w:rsid w:val="00B8230B"/>
    <w:rsid w:val="00B8248A"/>
    <w:rsid w:val="00B918AA"/>
    <w:rsid w:val="00B92454"/>
    <w:rsid w:val="00BB4B29"/>
    <w:rsid w:val="00BC04FE"/>
    <w:rsid w:val="00BD55EB"/>
    <w:rsid w:val="00BF1C72"/>
    <w:rsid w:val="00BF3045"/>
    <w:rsid w:val="00C0678F"/>
    <w:rsid w:val="00C07C6F"/>
    <w:rsid w:val="00C12937"/>
    <w:rsid w:val="00C239B7"/>
    <w:rsid w:val="00C34887"/>
    <w:rsid w:val="00C41202"/>
    <w:rsid w:val="00C52D76"/>
    <w:rsid w:val="00C62427"/>
    <w:rsid w:val="00C66EA2"/>
    <w:rsid w:val="00C760ED"/>
    <w:rsid w:val="00CB6D79"/>
    <w:rsid w:val="00CC1515"/>
    <w:rsid w:val="00CC4217"/>
    <w:rsid w:val="00CC6B4F"/>
    <w:rsid w:val="00CD4ED6"/>
    <w:rsid w:val="00CD7374"/>
    <w:rsid w:val="00CF289A"/>
    <w:rsid w:val="00D2209F"/>
    <w:rsid w:val="00D23B01"/>
    <w:rsid w:val="00D250AD"/>
    <w:rsid w:val="00D25B23"/>
    <w:rsid w:val="00D46556"/>
    <w:rsid w:val="00D479FC"/>
    <w:rsid w:val="00D81A97"/>
    <w:rsid w:val="00D87D8D"/>
    <w:rsid w:val="00D92CAD"/>
    <w:rsid w:val="00D9348B"/>
    <w:rsid w:val="00DA56A9"/>
    <w:rsid w:val="00DC1546"/>
    <w:rsid w:val="00DD427C"/>
    <w:rsid w:val="00DE1378"/>
    <w:rsid w:val="00E006E7"/>
    <w:rsid w:val="00E048E9"/>
    <w:rsid w:val="00E11DC1"/>
    <w:rsid w:val="00E23582"/>
    <w:rsid w:val="00E276A9"/>
    <w:rsid w:val="00E41197"/>
    <w:rsid w:val="00E41486"/>
    <w:rsid w:val="00E47A7D"/>
    <w:rsid w:val="00E537D2"/>
    <w:rsid w:val="00E630D7"/>
    <w:rsid w:val="00E8219C"/>
    <w:rsid w:val="00E82393"/>
    <w:rsid w:val="00E905B9"/>
    <w:rsid w:val="00E93B65"/>
    <w:rsid w:val="00EA0849"/>
    <w:rsid w:val="00ED36FA"/>
    <w:rsid w:val="00EE0945"/>
    <w:rsid w:val="00F02804"/>
    <w:rsid w:val="00F044B6"/>
    <w:rsid w:val="00F1015E"/>
    <w:rsid w:val="00F215B2"/>
    <w:rsid w:val="00F2282C"/>
    <w:rsid w:val="00F22D89"/>
    <w:rsid w:val="00F259A8"/>
    <w:rsid w:val="00F27B2A"/>
    <w:rsid w:val="00F366C4"/>
    <w:rsid w:val="00F53A6F"/>
    <w:rsid w:val="00F54EE2"/>
    <w:rsid w:val="00F5630B"/>
    <w:rsid w:val="00F649A2"/>
    <w:rsid w:val="00F72698"/>
    <w:rsid w:val="00F73663"/>
    <w:rsid w:val="00F738E3"/>
    <w:rsid w:val="00F84CF2"/>
    <w:rsid w:val="00F86B5B"/>
    <w:rsid w:val="00F925F8"/>
    <w:rsid w:val="00F96FE2"/>
    <w:rsid w:val="00FA433C"/>
    <w:rsid w:val="00FA5B0D"/>
    <w:rsid w:val="00FC347A"/>
    <w:rsid w:val="00FD34DC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93C"/>
  </w:style>
  <w:style w:type="paragraph" w:styleId="a8">
    <w:name w:val="footer"/>
    <w:basedOn w:val="a"/>
    <w:link w:val="a9"/>
    <w:uiPriority w:val="99"/>
    <w:unhideWhenUsed/>
    <w:rsid w:val="00AE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93C"/>
  </w:style>
  <w:style w:type="character" w:styleId="aa">
    <w:name w:val="Hyperlink"/>
    <w:basedOn w:val="a0"/>
    <w:uiPriority w:val="99"/>
    <w:semiHidden/>
    <w:unhideWhenUsed/>
    <w:rsid w:val="00AA632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A632D"/>
    <w:rPr>
      <w:color w:val="954F72"/>
      <w:u w:val="single"/>
    </w:rPr>
  </w:style>
  <w:style w:type="paragraph" w:customStyle="1" w:styleId="xl66">
    <w:name w:val="xl66"/>
    <w:basedOn w:val="a"/>
    <w:rsid w:val="00AA6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A6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A6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A6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AA6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D2209F"/>
    <w:rPr>
      <w:b/>
      <w:bCs/>
    </w:rPr>
  </w:style>
  <w:style w:type="paragraph" w:customStyle="1" w:styleId="red">
    <w:name w:val="red"/>
    <w:basedOn w:val="a"/>
    <w:rsid w:val="00D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D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5B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B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B0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00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07">
    <w:name w:val="xl107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08">
    <w:name w:val="xl108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09">
    <w:name w:val="xl109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10">
    <w:name w:val="xl110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16">
    <w:name w:val="xl116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B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5B0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39">
    <w:name w:val="xl139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40">
    <w:name w:val="xl140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41">
    <w:name w:val="xl141"/>
    <w:basedOn w:val="a"/>
    <w:rsid w:val="005B0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42">
    <w:name w:val="xl142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43">
    <w:name w:val="xl143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44">
    <w:name w:val="xl144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46">
    <w:name w:val="xl146"/>
    <w:basedOn w:val="a"/>
    <w:rsid w:val="005B0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47">
    <w:name w:val="xl147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49">
    <w:name w:val="xl149"/>
    <w:basedOn w:val="a"/>
    <w:rsid w:val="005B00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50">
    <w:name w:val="xl150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51">
    <w:name w:val="xl151"/>
    <w:basedOn w:val="a"/>
    <w:rsid w:val="005B00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01010"/>
      <w:sz w:val="20"/>
      <w:szCs w:val="20"/>
      <w:lang w:eastAsia="ru-RU"/>
    </w:rPr>
  </w:style>
  <w:style w:type="paragraph" w:customStyle="1" w:styleId="xl152">
    <w:name w:val="xl152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B0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B0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5B00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B0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1">
    <w:name w:val="xl161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2">
    <w:name w:val="xl162"/>
    <w:basedOn w:val="a"/>
    <w:rsid w:val="005B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3">
    <w:name w:val="xl163"/>
    <w:basedOn w:val="a"/>
    <w:rsid w:val="005B00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4">
    <w:name w:val="xl164"/>
    <w:basedOn w:val="a"/>
    <w:rsid w:val="005B0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5">
    <w:name w:val="xl165"/>
    <w:basedOn w:val="a"/>
    <w:rsid w:val="005B0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6">
    <w:name w:val="xl166"/>
    <w:basedOn w:val="a"/>
    <w:rsid w:val="005B0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7">
    <w:name w:val="xl167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68">
    <w:name w:val="xl168"/>
    <w:basedOn w:val="a"/>
    <w:rsid w:val="005B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5B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5B00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72">
    <w:name w:val="xl172"/>
    <w:basedOn w:val="a"/>
    <w:rsid w:val="005B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B00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5B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ru-RU"/>
    </w:rPr>
  </w:style>
  <w:style w:type="paragraph" w:customStyle="1" w:styleId="xl175">
    <w:name w:val="xl175"/>
    <w:basedOn w:val="a"/>
    <w:rsid w:val="005B0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B0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5B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5B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hnormatitle">
    <w:name w:val="tehnormatitle"/>
    <w:basedOn w:val="a"/>
    <w:rsid w:val="004A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2358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358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358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358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35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68A8-8275-4BFC-B1F0-D28ED41D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Солоневич</dc:creator>
  <cp:lastModifiedBy>user</cp:lastModifiedBy>
  <cp:revision>2</cp:revision>
  <cp:lastPrinted>2022-03-30T08:03:00Z</cp:lastPrinted>
  <dcterms:created xsi:type="dcterms:W3CDTF">2022-04-20T11:04:00Z</dcterms:created>
  <dcterms:modified xsi:type="dcterms:W3CDTF">2022-04-20T11:04:00Z</dcterms:modified>
</cp:coreProperties>
</file>