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709"/>
        <w:gridCol w:w="3720"/>
        <w:gridCol w:w="4643"/>
        <w:gridCol w:w="1134"/>
      </w:tblGrid>
      <w:tr w:rsidR="002E49F8" w:rsidRPr="002E49F8" w:rsidTr="002E49F8">
        <w:tc>
          <w:tcPr>
            <w:tcW w:w="709" w:type="dxa"/>
          </w:tcPr>
          <w:p w:rsidR="002E49F8" w:rsidRPr="002E49F8" w:rsidRDefault="002E49F8" w:rsidP="009A09EA">
            <w:pPr>
              <w:rPr>
                <w:noProof/>
                <w:sz w:val="20"/>
                <w:szCs w:val="20"/>
              </w:rPr>
            </w:pPr>
            <w:r w:rsidRPr="002E49F8">
              <w:rPr>
                <w:noProof/>
                <w:sz w:val="20"/>
                <w:szCs w:val="20"/>
              </w:rPr>
              <w:t>п/п</w:t>
            </w:r>
          </w:p>
        </w:tc>
        <w:tc>
          <w:tcPr>
            <w:tcW w:w="3720" w:type="dxa"/>
          </w:tcPr>
          <w:p w:rsidR="002E49F8" w:rsidRPr="002E49F8" w:rsidRDefault="002E49F8" w:rsidP="009A09EA">
            <w:pPr>
              <w:rPr>
                <w:noProof/>
                <w:sz w:val="20"/>
                <w:szCs w:val="20"/>
              </w:rPr>
            </w:pPr>
            <w:r w:rsidRPr="002E49F8">
              <w:rPr>
                <w:noProof/>
                <w:sz w:val="20"/>
                <w:szCs w:val="20"/>
              </w:rPr>
              <w:t>Примерный эскиз</w:t>
            </w:r>
          </w:p>
        </w:tc>
        <w:tc>
          <w:tcPr>
            <w:tcW w:w="4643" w:type="dxa"/>
          </w:tcPr>
          <w:p w:rsidR="002E49F8" w:rsidRPr="002E49F8" w:rsidRDefault="002E49F8" w:rsidP="009A09EA">
            <w:pPr>
              <w:jc w:val="both"/>
              <w:rPr>
                <w:b/>
                <w:sz w:val="20"/>
                <w:szCs w:val="20"/>
              </w:rPr>
            </w:pPr>
            <w:r w:rsidRPr="002E49F8">
              <w:rPr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1134" w:type="dxa"/>
          </w:tcPr>
          <w:p w:rsidR="002E49F8" w:rsidRPr="002E49F8" w:rsidRDefault="002E49F8" w:rsidP="009A09EA">
            <w:pPr>
              <w:jc w:val="both"/>
              <w:rPr>
                <w:b/>
                <w:sz w:val="20"/>
                <w:szCs w:val="20"/>
              </w:rPr>
            </w:pPr>
            <w:r w:rsidRPr="002E49F8">
              <w:rPr>
                <w:b/>
                <w:sz w:val="20"/>
                <w:szCs w:val="20"/>
              </w:rPr>
              <w:t>Количество</w:t>
            </w:r>
          </w:p>
        </w:tc>
      </w:tr>
      <w:tr w:rsidR="002E49F8" w:rsidRPr="002E49F8" w:rsidTr="002E49F8">
        <w:tc>
          <w:tcPr>
            <w:tcW w:w="709" w:type="dxa"/>
          </w:tcPr>
          <w:p w:rsidR="002E49F8" w:rsidRPr="002E49F8" w:rsidRDefault="002E49F8" w:rsidP="002E49F8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3720" w:type="dxa"/>
          </w:tcPr>
          <w:p w:rsidR="002E49F8" w:rsidRPr="002E49F8" w:rsidRDefault="002E49F8" w:rsidP="009A09EA">
            <w:pPr>
              <w:rPr>
                <w:noProof/>
                <w:sz w:val="20"/>
                <w:szCs w:val="20"/>
              </w:rPr>
            </w:pPr>
          </w:p>
          <w:p w:rsidR="002E49F8" w:rsidRPr="002E49F8" w:rsidRDefault="002E49F8" w:rsidP="002E49F8">
            <w:pPr>
              <w:jc w:val="center"/>
              <w:rPr>
                <w:noProof/>
                <w:sz w:val="20"/>
                <w:szCs w:val="20"/>
              </w:rPr>
            </w:pPr>
            <w:r w:rsidRPr="002E49F8">
              <w:rPr>
                <w:noProof/>
                <w:sz w:val="20"/>
                <w:szCs w:val="20"/>
              </w:rPr>
              <w:drawing>
                <wp:inline distT="0" distB="0" distL="0" distR="0">
                  <wp:extent cx="2032104" cy="1762125"/>
                  <wp:effectExtent l="0" t="0" r="6350" b="0"/>
                  <wp:docPr id="1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16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3451" cy="1780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49F8" w:rsidRPr="002E49F8" w:rsidRDefault="002E49F8" w:rsidP="002E49F8">
            <w:pPr>
              <w:jc w:val="center"/>
              <w:rPr>
                <w:sz w:val="20"/>
                <w:szCs w:val="20"/>
              </w:rPr>
            </w:pPr>
            <w:r w:rsidRPr="002E49F8">
              <w:rPr>
                <w:sz w:val="20"/>
                <w:szCs w:val="20"/>
              </w:rPr>
              <w:t>Примерный эскиз</w:t>
            </w:r>
          </w:p>
        </w:tc>
        <w:tc>
          <w:tcPr>
            <w:tcW w:w="4643" w:type="dxa"/>
          </w:tcPr>
          <w:p w:rsidR="002E49F8" w:rsidRPr="002E49F8" w:rsidRDefault="002E49F8" w:rsidP="009A09EA">
            <w:pPr>
              <w:jc w:val="both"/>
              <w:rPr>
                <w:b/>
                <w:sz w:val="20"/>
                <w:szCs w:val="20"/>
              </w:rPr>
            </w:pPr>
            <w:r w:rsidRPr="002E49F8">
              <w:rPr>
                <w:b/>
                <w:sz w:val="20"/>
                <w:szCs w:val="20"/>
              </w:rPr>
              <w:t>Горка</w:t>
            </w:r>
          </w:p>
          <w:p w:rsidR="002E49F8" w:rsidRPr="002E49F8" w:rsidRDefault="002E49F8" w:rsidP="009A09EA">
            <w:pPr>
              <w:jc w:val="both"/>
              <w:rPr>
                <w:sz w:val="20"/>
                <w:szCs w:val="20"/>
              </w:rPr>
            </w:pPr>
            <w:r w:rsidRPr="002E49F8">
              <w:rPr>
                <w:sz w:val="20"/>
                <w:szCs w:val="20"/>
              </w:rPr>
              <w:t>Материал и размеры согласно Таблица № 1 Спецификация товара.</w:t>
            </w:r>
          </w:p>
          <w:p w:rsidR="002E49F8" w:rsidRPr="002E49F8" w:rsidRDefault="002E49F8" w:rsidP="009A09EA">
            <w:pPr>
              <w:jc w:val="both"/>
              <w:rPr>
                <w:sz w:val="20"/>
                <w:szCs w:val="20"/>
              </w:rPr>
            </w:pPr>
            <w:r w:rsidRPr="002E49F8">
              <w:rPr>
                <w:sz w:val="20"/>
                <w:szCs w:val="20"/>
              </w:rPr>
              <w:t xml:space="preserve">Используемая фанера должна быть водостойкой фанерой марки ФСФ, из лиственных пород. </w:t>
            </w:r>
          </w:p>
          <w:p w:rsidR="002E49F8" w:rsidRPr="002E49F8" w:rsidRDefault="002E49F8" w:rsidP="009A09EA">
            <w:pPr>
              <w:jc w:val="both"/>
              <w:rPr>
                <w:sz w:val="20"/>
                <w:szCs w:val="20"/>
              </w:rPr>
            </w:pPr>
            <w:r w:rsidRPr="002E49F8">
              <w:rPr>
                <w:sz w:val="20"/>
                <w:szCs w:val="20"/>
              </w:rPr>
              <w:t>Деревянные детали должны быть тщательно отшлифованы, кромки закруглены и окрашены яркими двухкомпонентными красками, стойкими к сложным погодным условиям, истиранию, действию ультрафиолета и специально предназначенными для применения на детских площадках, крепеж оцинкован.</w:t>
            </w:r>
          </w:p>
          <w:p w:rsidR="002E49F8" w:rsidRPr="002E49F8" w:rsidRDefault="002E49F8" w:rsidP="009A09EA">
            <w:pPr>
              <w:jc w:val="both"/>
              <w:rPr>
                <w:sz w:val="20"/>
                <w:szCs w:val="20"/>
              </w:rPr>
            </w:pPr>
            <w:r w:rsidRPr="002E49F8">
              <w:rPr>
                <w:sz w:val="20"/>
                <w:szCs w:val="20"/>
              </w:rPr>
              <w:t>Металлические элементы окрашены яркими порошковыми красками с предварительной антикоррозийной обработкой.</w:t>
            </w:r>
          </w:p>
          <w:p w:rsidR="002E49F8" w:rsidRPr="002E49F8" w:rsidRDefault="002E49F8" w:rsidP="009A09EA">
            <w:pPr>
              <w:jc w:val="both"/>
              <w:rPr>
                <w:sz w:val="20"/>
                <w:szCs w:val="20"/>
              </w:rPr>
            </w:pPr>
            <w:r w:rsidRPr="002E49F8">
              <w:rPr>
                <w:sz w:val="20"/>
                <w:szCs w:val="20"/>
              </w:rPr>
              <w:t>Выступающие концы болтовых соединений должны закрываться пластиковыми заглушками.</w:t>
            </w:r>
          </w:p>
        </w:tc>
        <w:tc>
          <w:tcPr>
            <w:tcW w:w="1134" w:type="dxa"/>
          </w:tcPr>
          <w:p w:rsidR="002E49F8" w:rsidRPr="002E49F8" w:rsidRDefault="002E49F8" w:rsidP="009A09E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шт.</w:t>
            </w:r>
          </w:p>
        </w:tc>
      </w:tr>
      <w:tr w:rsidR="002E49F8" w:rsidRPr="002E49F8" w:rsidTr="002E49F8">
        <w:tc>
          <w:tcPr>
            <w:tcW w:w="709" w:type="dxa"/>
          </w:tcPr>
          <w:p w:rsidR="002E49F8" w:rsidRPr="002E49F8" w:rsidRDefault="002E49F8" w:rsidP="009A09EA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3720" w:type="dxa"/>
            <w:vAlign w:val="center"/>
          </w:tcPr>
          <w:p w:rsidR="002E49F8" w:rsidRPr="002E49F8" w:rsidRDefault="002E49F8" w:rsidP="009A09EA">
            <w:pPr>
              <w:jc w:val="center"/>
              <w:rPr>
                <w:sz w:val="20"/>
                <w:szCs w:val="20"/>
              </w:rPr>
            </w:pPr>
            <w:r w:rsidRPr="002E49F8">
              <w:rPr>
                <w:noProof/>
                <w:sz w:val="20"/>
                <w:szCs w:val="20"/>
              </w:rPr>
              <w:drawing>
                <wp:inline distT="0" distB="0" distL="0" distR="0">
                  <wp:extent cx="1596772" cy="1190625"/>
                  <wp:effectExtent l="0" t="0" r="3810" b="0"/>
                  <wp:docPr id="12" name="Рисунок 5" descr="C:\Users\WIN7PRO\Desktop\Каталог 2013\0505  в=890 д=2560 ш=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IN7PRO\Desktop\Каталог 2013\0505  в=890 д=2560 ш=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232" cy="1195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49F8">
              <w:rPr>
                <w:sz w:val="20"/>
                <w:szCs w:val="20"/>
              </w:rPr>
              <w:t xml:space="preserve"> Примерный эскиз</w:t>
            </w:r>
          </w:p>
        </w:tc>
        <w:tc>
          <w:tcPr>
            <w:tcW w:w="4643" w:type="dxa"/>
          </w:tcPr>
          <w:p w:rsidR="002E49F8" w:rsidRPr="002E49F8" w:rsidRDefault="002E49F8" w:rsidP="009A09EA">
            <w:pPr>
              <w:jc w:val="both"/>
              <w:rPr>
                <w:b/>
                <w:sz w:val="20"/>
                <w:szCs w:val="20"/>
              </w:rPr>
            </w:pPr>
            <w:r w:rsidRPr="002E49F8">
              <w:rPr>
                <w:b/>
                <w:sz w:val="20"/>
                <w:szCs w:val="20"/>
              </w:rPr>
              <w:t>Качалка-балансир</w:t>
            </w:r>
          </w:p>
          <w:p w:rsidR="002E49F8" w:rsidRPr="002E49F8" w:rsidRDefault="002E49F8" w:rsidP="009A09EA">
            <w:pPr>
              <w:jc w:val="both"/>
              <w:rPr>
                <w:sz w:val="20"/>
                <w:szCs w:val="20"/>
              </w:rPr>
            </w:pPr>
            <w:r w:rsidRPr="002E49F8">
              <w:rPr>
                <w:sz w:val="20"/>
                <w:szCs w:val="20"/>
              </w:rPr>
              <w:t>Материал и размеры согласно Таблица № 1 Спецификация товара.</w:t>
            </w:r>
          </w:p>
          <w:p w:rsidR="002E49F8" w:rsidRPr="002E49F8" w:rsidRDefault="002E49F8" w:rsidP="009A09EA">
            <w:pPr>
              <w:rPr>
                <w:sz w:val="20"/>
                <w:szCs w:val="20"/>
              </w:rPr>
            </w:pPr>
            <w:r w:rsidRPr="002E49F8">
              <w:rPr>
                <w:sz w:val="20"/>
                <w:szCs w:val="20"/>
              </w:rPr>
              <w:t xml:space="preserve">Используемая фанера должна быть водостойкой фанерой марки ФСФ, из лиственных пород.                                                                                                                                                    Деревянные детали должны быть тщательно отшлифованы, кромки закруглены и окрашены яркими двухкомпонентными красками, стойкими к сложным погодным условиям, истиранию, действию ультрафиолета и специально предназначенными для применения на детских площадках, крепеж оцинкован. </w:t>
            </w:r>
          </w:p>
          <w:p w:rsidR="002E49F8" w:rsidRPr="002E49F8" w:rsidRDefault="002E49F8" w:rsidP="009A09EA">
            <w:pPr>
              <w:jc w:val="both"/>
              <w:rPr>
                <w:sz w:val="20"/>
                <w:szCs w:val="20"/>
              </w:rPr>
            </w:pPr>
            <w:r w:rsidRPr="002E49F8">
              <w:rPr>
                <w:sz w:val="20"/>
                <w:szCs w:val="20"/>
              </w:rPr>
              <w:t xml:space="preserve">Металлические элементы окрашены яркими порошковыми красками с предварительной антикоррозийной обработкой. </w:t>
            </w:r>
          </w:p>
          <w:p w:rsidR="002E49F8" w:rsidRPr="002E49F8" w:rsidRDefault="002E49F8" w:rsidP="009A09EA">
            <w:pPr>
              <w:jc w:val="both"/>
              <w:rPr>
                <w:sz w:val="20"/>
                <w:szCs w:val="20"/>
              </w:rPr>
            </w:pPr>
            <w:r w:rsidRPr="002E49F8">
              <w:rPr>
                <w:sz w:val="20"/>
                <w:szCs w:val="20"/>
              </w:rPr>
              <w:t>Все крепежные элементы оцинкованы, выступающие концы болтовых соединений должны закрываться пластиковыми заглушками.</w:t>
            </w:r>
          </w:p>
        </w:tc>
        <w:tc>
          <w:tcPr>
            <w:tcW w:w="1134" w:type="dxa"/>
          </w:tcPr>
          <w:p w:rsidR="002E49F8" w:rsidRPr="002E49F8" w:rsidRDefault="002E49F8" w:rsidP="009A09E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шт.</w:t>
            </w:r>
          </w:p>
        </w:tc>
      </w:tr>
      <w:tr w:rsidR="002E49F8" w:rsidRPr="002E49F8" w:rsidTr="002E49F8">
        <w:trPr>
          <w:trHeight w:val="4774"/>
        </w:trPr>
        <w:tc>
          <w:tcPr>
            <w:tcW w:w="709" w:type="dxa"/>
          </w:tcPr>
          <w:p w:rsidR="002E49F8" w:rsidRPr="002E49F8" w:rsidRDefault="002E49F8" w:rsidP="009A09EA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3720" w:type="dxa"/>
            <w:vAlign w:val="center"/>
          </w:tcPr>
          <w:p w:rsidR="002E49F8" w:rsidRPr="002E49F8" w:rsidRDefault="002E49F8" w:rsidP="009A09EA">
            <w:pPr>
              <w:jc w:val="center"/>
              <w:rPr>
                <w:sz w:val="20"/>
                <w:szCs w:val="20"/>
              </w:rPr>
            </w:pPr>
            <w:r w:rsidRPr="002E49F8">
              <w:rPr>
                <w:noProof/>
                <w:sz w:val="20"/>
                <w:szCs w:val="20"/>
              </w:rPr>
              <w:drawing>
                <wp:inline distT="0" distB="0" distL="0" distR="0">
                  <wp:extent cx="1513416" cy="1362075"/>
                  <wp:effectExtent l="0" t="0" r="0" b="0"/>
                  <wp:docPr id="1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501_201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758" cy="1374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49F8" w:rsidRPr="002E49F8" w:rsidRDefault="002E49F8" w:rsidP="009A09EA">
            <w:pPr>
              <w:jc w:val="center"/>
              <w:rPr>
                <w:sz w:val="20"/>
                <w:szCs w:val="20"/>
              </w:rPr>
            </w:pPr>
            <w:r w:rsidRPr="002E49F8">
              <w:rPr>
                <w:sz w:val="20"/>
                <w:szCs w:val="20"/>
              </w:rPr>
              <w:t>Примерный эскиз</w:t>
            </w:r>
          </w:p>
        </w:tc>
        <w:tc>
          <w:tcPr>
            <w:tcW w:w="4643" w:type="dxa"/>
          </w:tcPr>
          <w:p w:rsidR="002E49F8" w:rsidRPr="002E49F8" w:rsidRDefault="002E49F8" w:rsidP="009A09EA">
            <w:pPr>
              <w:jc w:val="both"/>
              <w:rPr>
                <w:b/>
                <w:sz w:val="20"/>
                <w:szCs w:val="20"/>
              </w:rPr>
            </w:pPr>
            <w:r w:rsidRPr="002E49F8">
              <w:rPr>
                <w:b/>
                <w:sz w:val="20"/>
                <w:szCs w:val="20"/>
              </w:rPr>
              <w:t xml:space="preserve">Качели с гибкой подвеской </w:t>
            </w:r>
          </w:p>
          <w:p w:rsidR="002E49F8" w:rsidRPr="002E49F8" w:rsidRDefault="002E49F8" w:rsidP="009A09EA">
            <w:pPr>
              <w:jc w:val="both"/>
              <w:rPr>
                <w:sz w:val="20"/>
                <w:szCs w:val="20"/>
              </w:rPr>
            </w:pPr>
            <w:r w:rsidRPr="002E49F8">
              <w:rPr>
                <w:sz w:val="20"/>
                <w:szCs w:val="20"/>
              </w:rPr>
              <w:t>Материал и размеры согласно Таблица № 1 Спецификация товара.</w:t>
            </w:r>
          </w:p>
          <w:p w:rsidR="002E49F8" w:rsidRPr="002E49F8" w:rsidRDefault="002E49F8" w:rsidP="009A09EA">
            <w:pPr>
              <w:jc w:val="both"/>
              <w:rPr>
                <w:sz w:val="20"/>
                <w:szCs w:val="20"/>
              </w:rPr>
            </w:pPr>
            <w:r w:rsidRPr="002E49F8">
              <w:rPr>
                <w:sz w:val="20"/>
                <w:szCs w:val="20"/>
              </w:rPr>
              <w:t xml:space="preserve">Используемая фанера должна быть водостойкой фанерой марки ФСФ, из лиственных пород.                                                                                                                                                    </w:t>
            </w:r>
          </w:p>
          <w:p w:rsidR="002E49F8" w:rsidRPr="002E49F8" w:rsidRDefault="002E49F8" w:rsidP="009A09EA">
            <w:pPr>
              <w:jc w:val="both"/>
              <w:rPr>
                <w:rFonts w:eastAsia="Calibri"/>
                <w:sz w:val="20"/>
                <w:szCs w:val="20"/>
              </w:rPr>
            </w:pPr>
            <w:r w:rsidRPr="002E49F8">
              <w:rPr>
                <w:rFonts w:eastAsia="Calibri"/>
                <w:sz w:val="20"/>
                <w:szCs w:val="20"/>
              </w:rPr>
              <w:t xml:space="preserve">Деревянные детали должны быть тщательно отшлифованы, кромки закруглены и окрашены яркими двухкомпонентными красками, стойкими к сложным погодным условиям, истиранию, действию ультрафиолета и специально предназначенными для применения на детских площадках. </w:t>
            </w:r>
          </w:p>
          <w:p w:rsidR="002E49F8" w:rsidRPr="002E49F8" w:rsidRDefault="002E49F8" w:rsidP="009A09EA">
            <w:pPr>
              <w:jc w:val="both"/>
              <w:rPr>
                <w:rFonts w:eastAsia="Calibri"/>
                <w:sz w:val="20"/>
                <w:szCs w:val="20"/>
              </w:rPr>
            </w:pPr>
            <w:r w:rsidRPr="002E49F8">
              <w:rPr>
                <w:rFonts w:eastAsia="Calibri"/>
                <w:sz w:val="20"/>
                <w:szCs w:val="20"/>
              </w:rPr>
              <w:t xml:space="preserve">Металлические элементы окрашены яркими порошковыми красками с предварительной антикоррозийной обработкой. </w:t>
            </w:r>
          </w:p>
          <w:p w:rsidR="002E49F8" w:rsidRPr="002E49F8" w:rsidRDefault="002E49F8" w:rsidP="009A09EA">
            <w:pPr>
              <w:jc w:val="both"/>
              <w:rPr>
                <w:sz w:val="20"/>
                <w:szCs w:val="20"/>
              </w:rPr>
            </w:pPr>
            <w:r w:rsidRPr="002E49F8">
              <w:rPr>
                <w:rFonts w:eastAsia="Calibri"/>
                <w:sz w:val="20"/>
                <w:szCs w:val="20"/>
              </w:rPr>
              <w:t>Все крепежные элементы оцинкованы, выступающие концы болтовых соединений должны закрываться пластиковыми заглушками.</w:t>
            </w:r>
          </w:p>
        </w:tc>
        <w:tc>
          <w:tcPr>
            <w:tcW w:w="1134" w:type="dxa"/>
          </w:tcPr>
          <w:p w:rsidR="002E49F8" w:rsidRPr="002E49F8" w:rsidRDefault="002E49F8" w:rsidP="009A09E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шт.</w:t>
            </w:r>
          </w:p>
        </w:tc>
      </w:tr>
      <w:tr w:rsidR="002E49F8" w:rsidRPr="002E49F8" w:rsidTr="002E49F8">
        <w:tc>
          <w:tcPr>
            <w:tcW w:w="709" w:type="dxa"/>
          </w:tcPr>
          <w:p w:rsidR="002E49F8" w:rsidRDefault="002E49F8" w:rsidP="009A09EA">
            <w:pPr>
              <w:ind w:left="709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</w:t>
            </w:r>
          </w:p>
          <w:p w:rsidR="002E49F8" w:rsidRPr="002E49F8" w:rsidRDefault="002E49F8" w:rsidP="002E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20" w:type="dxa"/>
          </w:tcPr>
          <w:p w:rsidR="002E49F8" w:rsidRPr="002E49F8" w:rsidRDefault="002E49F8" w:rsidP="009A09EA">
            <w:pPr>
              <w:ind w:left="709"/>
              <w:rPr>
                <w:noProof/>
                <w:sz w:val="20"/>
                <w:szCs w:val="20"/>
              </w:rPr>
            </w:pPr>
          </w:p>
          <w:p w:rsidR="002E49F8" w:rsidRPr="002E49F8" w:rsidRDefault="002E49F8" w:rsidP="009A09EA">
            <w:pPr>
              <w:ind w:left="709"/>
              <w:rPr>
                <w:noProof/>
                <w:sz w:val="20"/>
                <w:szCs w:val="20"/>
              </w:rPr>
            </w:pPr>
          </w:p>
          <w:p w:rsidR="002E49F8" w:rsidRPr="002E49F8" w:rsidRDefault="002E49F8" w:rsidP="009A09EA">
            <w:pPr>
              <w:ind w:left="709"/>
              <w:rPr>
                <w:noProof/>
                <w:sz w:val="20"/>
                <w:szCs w:val="20"/>
              </w:rPr>
            </w:pPr>
          </w:p>
          <w:p w:rsidR="002E49F8" w:rsidRPr="002E49F8" w:rsidRDefault="002E49F8" w:rsidP="009A09EA">
            <w:pPr>
              <w:ind w:left="709"/>
              <w:rPr>
                <w:noProof/>
                <w:sz w:val="20"/>
                <w:szCs w:val="20"/>
              </w:rPr>
            </w:pPr>
          </w:p>
          <w:p w:rsidR="002E49F8" w:rsidRPr="002E49F8" w:rsidRDefault="002E49F8" w:rsidP="009A09EA">
            <w:pPr>
              <w:ind w:left="709"/>
              <w:rPr>
                <w:noProof/>
                <w:sz w:val="20"/>
                <w:szCs w:val="20"/>
              </w:rPr>
            </w:pPr>
          </w:p>
          <w:p w:rsidR="002E49F8" w:rsidRPr="002E49F8" w:rsidRDefault="002E49F8" w:rsidP="009A09EA">
            <w:pPr>
              <w:ind w:left="709"/>
              <w:jc w:val="center"/>
              <w:rPr>
                <w:sz w:val="20"/>
                <w:szCs w:val="20"/>
              </w:rPr>
            </w:pPr>
            <w:r w:rsidRPr="002E49F8"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1426255" cy="1524000"/>
                  <wp:effectExtent l="0" t="0" r="2540" b="0"/>
                  <wp:docPr id="1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202-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1720" cy="1551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E49F8">
              <w:rPr>
                <w:sz w:val="20"/>
                <w:szCs w:val="20"/>
              </w:rPr>
              <w:t xml:space="preserve"> Примерный эскиз</w:t>
            </w:r>
          </w:p>
        </w:tc>
        <w:tc>
          <w:tcPr>
            <w:tcW w:w="4643" w:type="dxa"/>
          </w:tcPr>
          <w:p w:rsidR="002E49F8" w:rsidRPr="002E49F8" w:rsidRDefault="002E49F8" w:rsidP="009A09EA">
            <w:pPr>
              <w:jc w:val="both"/>
              <w:rPr>
                <w:b/>
                <w:sz w:val="20"/>
                <w:szCs w:val="20"/>
              </w:rPr>
            </w:pPr>
            <w:r w:rsidRPr="002E49F8">
              <w:rPr>
                <w:b/>
                <w:sz w:val="20"/>
                <w:szCs w:val="20"/>
              </w:rPr>
              <w:lastRenderedPageBreak/>
              <w:t xml:space="preserve">Песочница с навесом </w:t>
            </w:r>
          </w:p>
          <w:p w:rsidR="002E49F8" w:rsidRPr="002E49F8" w:rsidRDefault="002E49F8" w:rsidP="009A09EA">
            <w:pPr>
              <w:jc w:val="both"/>
              <w:rPr>
                <w:sz w:val="20"/>
                <w:szCs w:val="20"/>
              </w:rPr>
            </w:pPr>
            <w:r w:rsidRPr="002E49F8">
              <w:rPr>
                <w:sz w:val="20"/>
                <w:szCs w:val="20"/>
              </w:rPr>
              <w:t>Материал и размеры согласно Таблица № 1 Спецификация товара.</w:t>
            </w:r>
          </w:p>
          <w:p w:rsidR="002E49F8" w:rsidRPr="002E49F8" w:rsidRDefault="002E49F8" w:rsidP="009A09EA">
            <w:pPr>
              <w:jc w:val="both"/>
              <w:rPr>
                <w:color w:val="000000"/>
                <w:sz w:val="20"/>
                <w:szCs w:val="20"/>
              </w:rPr>
            </w:pPr>
            <w:r w:rsidRPr="002E49F8">
              <w:rPr>
                <w:color w:val="000000"/>
                <w:sz w:val="20"/>
                <w:szCs w:val="20"/>
              </w:rPr>
              <w:t>Используемая фанера должна быть водостойкой фанерой, марки ФСФ, из лиственных пород.</w:t>
            </w:r>
          </w:p>
          <w:p w:rsidR="002E49F8" w:rsidRPr="002E49F8" w:rsidRDefault="002E49F8" w:rsidP="009A09EA">
            <w:pPr>
              <w:jc w:val="both"/>
              <w:rPr>
                <w:sz w:val="20"/>
                <w:szCs w:val="20"/>
              </w:rPr>
            </w:pPr>
            <w:r w:rsidRPr="002E49F8">
              <w:rPr>
                <w:sz w:val="20"/>
                <w:szCs w:val="20"/>
              </w:rPr>
              <w:lastRenderedPageBreak/>
              <w:t>Деревянные детали должны быть тщательно отшлифованы, кромки закруглены и окрашены яркими двухкомпонентными красками, стойкими к сложным погодным условиям, истиранию, действию ультрафиолета и специально предназначенными для применения на детских площадках, крепеж оцинкован. Металлические элементы окрашены яркими порошковыми красками с предварительной антикоррозийной обработкой. Выступающие концы болтовых соединений должны закрываться пластиковыми заглушками.</w:t>
            </w:r>
          </w:p>
        </w:tc>
        <w:tc>
          <w:tcPr>
            <w:tcW w:w="1134" w:type="dxa"/>
          </w:tcPr>
          <w:p w:rsidR="002E49F8" w:rsidRPr="002E49F8" w:rsidRDefault="002E49F8" w:rsidP="009A09E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 шт.</w:t>
            </w:r>
          </w:p>
        </w:tc>
      </w:tr>
      <w:tr w:rsidR="002E49F8" w:rsidRPr="002E49F8" w:rsidTr="002E49F8">
        <w:tc>
          <w:tcPr>
            <w:tcW w:w="709" w:type="dxa"/>
          </w:tcPr>
          <w:p w:rsidR="002E49F8" w:rsidRPr="002E49F8" w:rsidRDefault="002E49F8" w:rsidP="009A09EA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t>5</w:t>
            </w:r>
          </w:p>
        </w:tc>
        <w:tc>
          <w:tcPr>
            <w:tcW w:w="3720" w:type="dxa"/>
            <w:vAlign w:val="center"/>
          </w:tcPr>
          <w:p w:rsidR="002E49F8" w:rsidRPr="002E49F8" w:rsidRDefault="002E49F8" w:rsidP="009A09EA">
            <w:pPr>
              <w:jc w:val="center"/>
              <w:rPr>
                <w:sz w:val="20"/>
                <w:szCs w:val="20"/>
              </w:rPr>
            </w:pPr>
            <w:r w:rsidRPr="002E49F8">
              <w:rPr>
                <w:noProof/>
                <w:sz w:val="20"/>
                <w:szCs w:val="20"/>
              </w:rPr>
              <w:drawing>
                <wp:inline distT="0" distB="0" distL="0" distR="0">
                  <wp:extent cx="1511300" cy="1133475"/>
                  <wp:effectExtent l="0" t="0" r="0" b="9525"/>
                  <wp:docPr id="1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502-2_201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49F8" w:rsidRPr="002E49F8" w:rsidRDefault="002E49F8" w:rsidP="009A09EA">
            <w:pPr>
              <w:jc w:val="center"/>
              <w:rPr>
                <w:sz w:val="20"/>
                <w:szCs w:val="20"/>
              </w:rPr>
            </w:pPr>
            <w:r w:rsidRPr="002E49F8">
              <w:rPr>
                <w:sz w:val="20"/>
                <w:szCs w:val="20"/>
              </w:rPr>
              <w:t>Примерный эскиз</w:t>
            </w:r>
          </w:p>
        </w:tc>
        <w:tc>
          <w:tcPr>
            <w:tcW w:w="4643" w:type="dxa"/>
          </w:tcPr>
          <w:p w:rsidR="002E49F8" w:rsidRPr="002E49F8" w:rsidRDefault="002E49F8" w:rsidP="009A09EA">
            <w:pPr>
              <w:jc w:val="both"/>
              <w:rPr>
                <w:b/>
                <w:sz w:val="20"/>
                <w:szCs w:val="20"/>
              </w:rPr>
            </w:pPr>
            <w:r w:rsidRPr="002E49F8">
              <w:rPr>
                <w:b/>
                <w:sz w:val="20"/>
                <w:szCs w:val="20"/>
              </w:rPr>
              <w:t>Качели с гибкой подвеской, двойные</w:t>
            </w:r>
          </w:p>
          <w:p w:rsidR="002E49F8" w:rsidRPr="002E49F8" w:rsidRDefault="002E49F8" w:rsidP="009A09EA">
            <w:pPr>
              <w:jc w:val="both"/>
              <w:rPr>
                <w:sz w:val="20"/>
                <w:szCs w:val="20"/>
              </w:rPr>
            </w:pPr>
            <w:r w:rsidRPr="002E49F8">
              <w:rPr>
                <w:sz w:val="20"/>
                <w:szCs w:val="20"/>
              </w:rPr>
              <w:t>Материал и размеры согласно Таблица № 1 Спецификация товара.</w:t>
            </w:r>
          </w:p>
          <w:p w:rsidR="002E49F8" w:rsidRPr="002E49F8" w:rsidRDefault="002E49F8" w:rsidP="009A09EA">
            <w:pPr>
              <w:jc w:val="both"/>
              <w:rPr>
                <w:color w:val="000000"/>
                <w:sz w:val="20"/>
                <w:szCs w:val="20"/>
              </w:rPr>
            </w:pPr>
            <w:r w:rsidRPr="002E49F8">
              <w:rPr>
                <w:color w:val="000000"/>
                <w:sz w:val="20"/>
                <w:szCs w:val="20"/>
              </w:rPr>
              <w:t>Используемая фанера должна быть водостойкой фанерой, марки ФСФ, из лиственных пород.</w:t>
            </w:r>
          </w:p>
          <w:p w:rsidR="002E49F8" w:rsidRPr="002E49F8" w:rsidRDefault="002E49F8" w:rsidP="009A09EA">
            <w:pPr>
              <w:jc w:val="both"/>
              <w:rPr>
                <w:sz w:val="20"/>
                <w:szCs w:val="20"/>
              </w:rPr>
            </w:pPr>
            <w:r w:rsidRPr="002E49F8">
              <w:rPr>
                <w:sz w:val="20"/>
                <w:szCs w:val="20"/>
              </w:rPr>
              <w:t xml:space="preserve">Металлические элементы окрашены яркими порошковыми красками с предварительной антикоррозийной обработкой. Выступающие концы болтовых соединений должны закрываться пластиковыми </w:t>
            </w:r>
            <w:proofErr w:type="spellStart"/>
            <w:r w:rsidRPr="002E49F8">
              <w:rPr>
                <w:sz w:val="20"/>
                <w:szCs w:val="20"/>
              </w:rPr>
              <w:t>заглушками</w:t>
            </w:r>
            <w:proofErr w:type="gramStart"/>
            <w:r w:rsidRPr="002E49F8">
              <w:rPr>
                <w:sz w:val="20"/>
                <w:szCs w:val="20"/>
              </w:rPr>
              <w:t>.</w:t>
            </w:r>
            <w:r w:rsidRPr="002E49F8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2E49F8">
              <w:rPr>
                <w:sz w:val="20"/>
                <w:szCs w:val="20"/>
              </w:rPr>
              <w:t>репеж</w:t>
            </w:r>
            <w:proofErr w:type="spellEnd"/>
            <w:r w:rsidRPr="002E49F8">
              <w:rPr>
                <w:sz w:val="20"/>
                <w:szCs w:val="20"/>
              </w:rPr>
              <w:t xml:space="preserve"> оцинкован.</w:t>
            </w:r>
          </w:p>
          <w:p w:rsidR="002E49F8" w:rsidRPr="002E49F8" w:rsidRDefault="002E49F8" w:rsidP="009A09E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E49F8" w:rsidRPr="002E49F8" w:rsidRDefault="002E49F8" w:rsidP="009A09E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шт.</w:t>
            </w:r>
          </w:p>
        </w:tc>
      </w:tr>
    </w:tbl>
    <w:p w:rsidR="003E54F0" w:rsidRDefault="003E54F0"/>
    <w:sectPr w:rsidR="003E54F0" w:rsidSect="003E5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E49F8"/>
    <w:rsid w:val="002E49F8"/>
    <w:rsid w:val="003E54F0"/>
    <w:rsid w:val="00B55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49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9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1</cp:revision>
  <dcterms:created xsi:type="dcterms:W3CDTF">2024-06-08T08:18:00Z</dcterms:created>
  <dcterms:modified xsi:type="dcterms:W3CDTF">2024-06-08T08:24:00Z</dcterms:modified>
</cp:coreProperties>
</file>