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245"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4F4D93" w:rsidRPr="00A52512" w:rsidTr="00B516A3">
        <w:trPr>
          <w:trHeight w:val="1549"/>
        </w:trPr>
        <w:tc>
          <w:tcPr>
            <w:tcW w:w="5245" w:type="dxa"/>
          </w:tcPr>
          <w:p w:rsidR="004F4D93" w:rsidRPr="00A52512" w:rsidRDefault="004F4D93" w:rsidP="00217706">
            <w:pPr>
              <w:tabs>
                <w:tab w:val="right" w:leader="dot" w:pos="9344"/>
              </w:tabs>
              <w:spacing w:after="0"/>
              <w:ind w:left="34" w:right="-108"/>
              <w:jc w:val="both"/>
              <w:rPr>
                <w:rFonts w:ascii="Times New Roman" w:hAnsi="Times New Roman"/>
                <w:b/>
                <w:sz w:val="26"/>
                <w:szCs w:val="26"/>
              </w:rPr>
            </w:pPr>
            <w:r w:rsidRPr="00A52512">
              <w:rPr>
                <w:rFonts w:ascii="Times New Roman" w:hAnsi="Times New Roman"/>
                <w:b/>
                <w:sz w:val="26"/>
                <w:szCs w:val="26"/>
              </w:rPr>
              <w:t xml:space="preserve">Приложение № 3 к извещению </w:t>
            </w:r>
          </w:p>
        </w:tc>
      </w:tr>
    </w:tbl>
    <w:p w:rsidR="004F4D93" w:rsidRPr="00A52512" w:rsidRDefault="004F4D93" w:rsidP="004F4D93">
      <w:pPr>
        <w:tabs>
          <w:tab w:val="right" w:leader="dot" w:pos="9344"/>
        </w:tabs>
        <w:spacing w:after="0"/>
        <w:jc w:val="center"/>
        <w:rPr>
          <w:rFonts w:ascii="Times New Roman" w:hAnsi="Times New Roman"/>
          <w:b/>
          <w:sz w:val="26"/>
          <w:szCs w:val="26"/>
        </w:rPr>
      </w:pPr>
    </w:p>
    <w:p w:rsidR="004F4D93" w:rsidRPr="00A52512" w:rsidRDefault="004F4D93" w:rsidP="004F4D93">
      <w:pPr>
        <w:spacing w:after="0"/>
        <w:jc w:val="center"/>
        <w:outlineLvl w:val="0"/>
        <w:rPr>
          <w:rFonts w:ascii="Times New Roman" w:hAnsi="Times New Roman"/>
          <w:b/>
          <w:sz w:val="26"/>
          <w:szCs w:val="26"/>
        </w:rPr>
      </w:pPr>
      <w:r w:rsidRPr="00A52512">
        <w:rPr>
          <w:rFonts w:ascii="Times New Roman" w:hAnsi="Times New Roman"/>
          <w:b/>
          <w:sz w:val="26"/>
          <w:szCs w:val="26"/>
        </w:rPr>
        <w:t>ОПИСАНИЕ ОБЪЕКТА ЗАКУПКИ</w:t>
      </w:r>
    </w:p>
    <w:p w:rsidR="004F4D93" w:rsidRPr="00A52512" w:rsidRDefault="004F4D93" w:rsidP="004F4D93">
      <w:pPr>
        <w:tabs>
          <w:tab w:val="right" w:leader="dot" w:pos="9344"/>
        </w:tabs>
        <w:spacing w:after="0"/>
        <w:jc w:val="center"/>
        <w:rPr>
          <w:rFonts w:ascii="Times New Roman" w:hAnsi="Times New Roman"/>
          <w:b/>
          <w:sz w:val="26"/>
          <w:szCs w:val="26"/>
        </w:rPr>
      </w:pPr>
    </w:p>
    <w:tbl>
      <w:tblPr>
        <w:tblStyle w:val="a5"/>
        <w:tblW w:w="9464" w:type="dxa"/>
        <w:tblLook w:val="04A0" w:firstRow="1" w:lastRow="0" w:firstColumn="1" w:lastColumn="0" w:noHBand="0" w:noVBand="1"/>
      </w:tblPr>
      <w:tblGrid>
        <w:gridCol w:w="4672"/>
        <w:gridCol w:w="4792"/>
      </w:tblGrid>
      <w:tr w:rsidR="004F4D93" w:rsidRPr="00A52512" w:rsidTr="00B516A3">
        <w:tc>
          <w:tcPr>
            <w:tcW w:w="467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 xml:space="preserve">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A52512">
              <w:rPr>
                <w:rFonts w:ascii="Times New Roman" w:hAnsi="Times New Roman"/>
                <w:sz w:val="26"/>
                <w:szCs w:val="26"/>
              </w:rPr>
              <w:t>группировочные</w:t>
            </w:r>
            <w:proofErr w:type="spellEnd"/>
            <w:r w:rsidRPr="00A52512">
              <w:rPr>
                <w:rFonts w:ascii="Times New Roman" w:hAnsi="Times New Roman"/>
                <w:sz w:val="26"/>
                <w:szCs w:val="26"/>
              </w:rPr>
              <w:t xml:space="preserve"> наименования</w:t>
            </w:r>
          </w:p>
          <w:p w:rsidR="004F4D93" w:rsidRPr="00A52512" w:rsidRDefault="004F4D93" w:rsidP="00B516A3">
            <w:pPr>
              <w:tabs>
                <w:tab w:val="right" w:leader="dot" w:pos="9344"/>
              </w:tabs>
              <w:spacing w:after="0"/>
              <w:jc w:val="both"/>
              <w:rPr>
                <w:rFonts w:ascii="Times New Roman" w:hAnsi="Times New Roman"/>
                <w:sz w:val="26"/>
                <w:szCs w:val="26"/>
              </w:rPr>
            </w:pPr>
          </w:p>
        </w:tc>
        <w:tc>
          <w:tcPr>
            <w:tcW w:w="479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Не применяется</w:t>
            </w:r>
          </w:p>
          <w:p w:rsidR="004F4D93" w:rsidRPr="00A52512" w:rsidRDefault="004F4D93" w:rsidP="00B516A3">
            <w:pPr>
              <w:tabs>
                <w:tab w:val="right" w:leader="dot" w:pos="9344"/>
              </w:tabs>
              <w:spacing w:after="0"/>
              <w:jc w:val="both"/>
              <w:rPr>
                <w:rFonts w:ascii="Times New Roman" w:hAnsi="Times New Roman"/>
                <w:sz w:val="26"/>
                <w:szCs w:val="26"/>
              </w:rPr>
            </w:pPr>
          </w:p>
          <w:p w:rsidR="004F4D93" w:rsidRPr="00A52512" w:rsidRDefault="004F4D93" w:rsidP="00B516A3">
            <w:pPr>
              <w:tabs>
                <w:tab w:val="right" w:leader="dot" w:pos="9344"/>
              </w:tabs>
              <w:spacing w:after="0"/>
              <w:jc w:val="both"/>
              <w:rPr>
                <w:rFonts w:ascii="Times New Roman" w:hAnsi="Times New Roman"/>
                <w:sz w:val="26"/>
                <w:szCs w:val="26"/>
              </w:rPr>
            </w:pPr>
          </w:p>
        </w:tc>
      </w:tr>
      <w:tr w:rsidR="004F4D93" w:rsidRPr="00A52512" w:rsidTr="00B516A3">
        <w:tc>
          <w:tcPr>
            <w:tcW w:w="467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Pr="00A52512">
              <w:rPr>
                <w:rStyle w:val="a8"/>
                <w:rFonts w:ascii="Times New Roman" w:hAnsi="Times New Roman"/>
                <w:sz w:val="26"/>
                <w:szCs w:val="26"/>
              </w:rPr>
              <w:footnoteReference w:id="1"/>
            </w:r>
          </w:p>
        </w:tc>
        <w:tc>
          <w:tcPr>
            <w:tcW w:w="4792" w:type="dxa"/>
            <w:vAlign w:val="center"/>
          </w:tcPr>
          <w:p w:rsidR="004F4D93" w:rsidRDefault="004F4D93" w:rsidP="00B516A3">
            <w:pPr>
              <w:pStyle w:val="a3"/>
              <w:ind w:left="0" w:firstLine="709"/>
              <w:jc w:val="both"/>
              <w:rPr>
                <w:rFonts w:ascii="Times New Roman" w:hAnsi="Times New Roman"/>
                <w:bCs/>
                <w:iCs/>
                <w:kern w:val="1"/>
                <w:sz w:val="26"/>
                <w:szCs w:val="26"/>
              </w:rPr>
            </w:pPr>
            <w:r w:rsidRPr="00D12B18">
              <w:rPr>
                <w:rFonts w:ascii="Times New Roman" w:hAnsi="Times New Roman"/>
                <w:sz w:val="26"/>
                <w:szCs w:val="26"/>
              </w:rPr>
              <w:t>В соответствии с электронным документом «</w:t>
            </w:r>
            <w:r>
              <w:rPr>
                <w:rFonts w:ascii="Times New Roman" w:hAnsi="Times New Roman"/>
                <w:sz w:val="26"/>
                <w:szCs w:val="26"/>
              </w:rPr>
              <w:t>Проект контракта</w:t>
            </w:r>
            <w:r w:rsidRPr="00D12B18">
              <w:rPr>
                <w:rFonts w:ascii="Times New Roman" w:hAnsi="Times New Roman"/>
                <w:sz w:val="26"/>
                <w:szCs w:val="26"/>
              </w:rPr>
              <w:t>» в составе настоящего Извещения</w:t>
            </w:r>
            <w:r>
              <w:rPr>
                <w:rFonts w:ascii="Times New Roman" w:hAnsi="Times New Roman"/>
                <w:sz w:val="26"/>
                <w:szCs w:val="26"/>
              </w:rPr>
              <w:t>.</w:t>
            </w:r>
          </w:p>
          <w:p w:rsidR="004F4D93" w:rsidRPr="006A3043" w:rsidRDefault="004F4D93" w:rsidP="00B516A3">
            <w:pPr>
              <w:pStyle w:val="a3"/>
              <w:ind w:left="0" w:firstLine="709"/>
              <w:jc w:val="both"/>
              <w:rPr>
                <w:rFonts w:ascii="Times New Roman" w:hAnsi="Times New Roman"/>
                <w:bCs/>
                <w:iCs/>
                <w:kern w:val="1"/>
                <w:sz w:val="26"/>
                <w:szCs w:val="26"/>
              </w:rPr>
            </w:pPr>
            <w:r w:rsidRPr="006A3043">
              <w:rPr>
                <w:rFonts w:ascii="Times New Roman" w:hAnsi="Times New Roman"/>
                <w:bCs/>
                <w:iCs/>
                <w:kern w:val="1"/>
                <w:sz w:val="26"/>
                <w:szCs w:val="26"/>
              </w:rPr>
              <w:t>Срок предоставления гарантий качества Товара:</w:t>
            </w:r>
            <w:r w:rsidRPr="00707E6C">
              <w:t xml:space="preserve"> </w:t>
            </w:r>
            <w:r w:rsidRPr="00707E6C">
              <w:rPr>
                <w:rFonts w:ascii="Times New Roman" w:hAnsi="Times New Roman"/>
                <w:bCs/>
                <w:iCs/>
                <w:kern w:val="1"/>
                <w:sz w:val="26"/>
                <w:szCs w:val="26"/>
              </w:rPr>
              <w:t xml:space="preserve">12 (Двенадцать) месяцев с даты подписания </w:t>
            </w:r>
            <w:r>
              <w:rPr>
                <w:rFonts w:ascii="Times New Roman" w:hAnsi="Times New Roman"/>
                <w:bCs/>
                <w:iCs/>
                <w:kern w:val="1"/>
                <w:sz w:val="26"/>
                <w:szCs w:val="26"/>
              </w:rPr>
              <w:t>заказчиком</w:t>
            </w:r>
            <w:r w:rsidRPr="00707E6C">
              <w:rPr>
                <w:rFonts w:ascii="Times New Roman" w:hAnsi="Times New Roman"/>
                <w:bCs/>
                <w:iCs/>
                <w:kern w:val="1"/>
                <w:sz w:val="26"/>
                <w:szCs w:val="26"/>
              </w:rPr>
              <w:t xml:space="preserve"> документа о приемке в единой информационной системе</w:t>
            </w:r>
            <w:r>
              <w:rPr>
                <w:rFonts w:ascii="Times New Roman" w:hAnsi="Times New Roman"/>
                <w:bCs/>
                <w:iCs/>
                <w:kern w:val="1"/>
                <w:sz w:val="26"/>
                <w:szCs w:val="26"/>
              </w:rPr>
              <w:t>.</w:t>
            </w:r>
          </w:p>
          <w:p w:rsidR="004F4D93" w:rsidRPr="00A52512" w:rsidRDefault="004F4D93" w:rsidP="00B516A3">
            <w:pPr>
              <w:tabs>
                <w:tab w:val="right" w:leader="dot" w:pos="9344"/>
              </w:tabs>
              <w:spacing w:after="0"/>
              <w:jc w:val="both"/>
              <w:rPr>
                <w:rFonts w:ascii="Times New Roman" w:hAnsi="Times New Roman"/>
                <w:b/>
                <w:sz w:val="26"/>
                <w:szCs w:val="26"/>
              </w:rPr>
            </w:pPr>
          </w:p>
        </w:tc>
      </w:tr>
      <w:tr w:rsidR="004F4D93" w:rsidRPr="00A52512" w:rsidTr="00B516A3">
        <w:tc>
          <w:tcPr>
            <w:tcW w:w="4672" w:type="dxa"/>
            <w:vAlign w:val="center"/>
          </w:tcPr>
          <w:p w:rsidR="004F4D93" w:rsidRPr="00A52512" w:rsidRDefault="004F4D93" w:rsidP="00B516A3">
            <w:pPr>
              <w:tabs>
                <w:tab w:val="right" w:leader="dot" w:pos="9344"/>
              </w:tabs>
              <w:spacing w:after="0"/>
              <w:jc w:val="both"/>
              <w:rPr>
                <w:rFonts w:ascii="Times New Roman" w:hAnsi="Times New Roman"/>
                <w:b/>
                <w:sz w:val="26"/>
                <w:szCs w:val="26"/>
              </w:rPr>
            </w:pPr>
            <w:r w:rsidRPr="00A52512">
              <w:rPr>
                <w:rFonts w:ascii="Times New Roman" w:hAnsi="Times New Roman"/>
                <w:sz w:val="26"/>
                <w:szCs w:val="26"/>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r w:rsidRPr="00A52512">
              <w:rPr>
                <w:rStyle w:val="a8"/>
                <w:rFonts w:ascii="Times New Roman" w:hAnsi="Times New Roman"/>
                <w:sz w:val="26"/>
                <w:szCs w:val="26"/>
              </w:rPr>
              <w:footnoteReference w:id="2"/>
            </w:r>
            <w:r w:rsidRPr="00A52512">
              <w:rPr>
                <w:rFonts w:ascii="Times New Roman" w:hAnsi="Times New Roman"/>
                <w:sz w:val="26"/>
                <w:szCs w:val="26"/>
              </w:rPr>
              <w:t xml:space="preserve"> </w:t>
            </w:r>
          </w:p>
        </w:tc>
        <w:tc>
          <w:tcPr>
            <w:tcW w:w="479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Не установлены</w:t>
            </w:r>
          </w:p>
          <w:p w:rsidR="004F4D93" w:rsidRPr="00A52512" w:rsidRDefault="004F4D93" w:rsidP="00B516A3">
            <w:pPr>
              <w:tabs>
                <w:tab w:val="right" w:leader="dot" w:pos="9344"/>
              </w:tabs>
              <w:spacing w:after="0"/>
              <w:jc w:val="both"/>
              <w:rPr>
                <w:rFonts w:ascii="Times New Roman" w:hAnsi="Times New Roman"/>
                <w:sz w:val="26"/>
                <w:szCs w:val="26"/>
              </w:rPr>
            </w:pPr>
          </w:p>
          <w:p w:rsidR="004F4D93" w:rsidRPr="00A52512" w:rsidRDefault="004F4D93" w:rsidP="00B516A3">
            <w:pPr>
              <w:tabs>
                <w:tab w:val="right" w:leader="dot" w:pos="9344"/>
              </w:tabs>
              <w:spacing w:after="0"/>
              <w:jc w:val="both"/>
              <w:rPr>
                <w:rFonts w:ascii="Times New Roman" w:hAnsi="Times New Roman"/>
                <w:b/>
                <w:sz w:val="26"/>
                <w:szCs w:val="26"/>
              </w:rPr>
            </w:pPr>
          </w:p>
        </w:tc>
      </w:tr>
      <w:tr w:rsidR="004F4D93" w:rsidRPr="00A52512" w:rsidTr="00B516A3">
        <w:tc>
          <w:tcPr>
            <w:tcW w:w="4672" w:type="dxa"/>
            <w:vAlign w:val="center"/>
          </w:tcPr>
          <w:p w:rsidR="004F4D93" w:rsidRPr="00A52512" w:rsidRDefault="004F4D93" w:rsidP="00B516A3">
            <w:pPr>
              <w:tabs>
                <w:tab w:val="right" w:leader="dot" w:pos="9344"/>
              </w:tabs>
              <w:spacing w:after="0"/>
              <w:jc w:val="both"/>
              <w:rPr>
                <w:rFonts w:ascii="Times New Roman" w:hAnsi="Times New Roman"/>
                <w:b/>
                <w:sz w:val="26"/>
                <w:szCs w:val="26"/>
              </w:rPr>
            </w:pPr>
            <w:r w:rsidRPr="00A52512">
              <w:rPr>
                <w:rFonts w:ascii="Times New Roman" w:hAnsi="Times New Roman"/>
                <w:sz w:val="26"/>
                <w:szCs w:val="26"/>
              </w:rPr>
              <w:lastRenderedPageBreak/>
              <w:t>Требования к предоставлению гарантии производителя и (или) поставщика товара и к сроку действия такой гарантии (предоставление такой гарантии осуществляется вместе с товаром)</w:t>
            </w:r>
            <w:r w:rsidRPr="00A52512">
              <w:rPr>
                <w:rStyle w:val="a8"/>
                <w:rFonts w:ascii="Times New Roman" w:hAnsi="Times New Roman"/>
                <w:sz w:val="26"/>
                <w:szCs w:val="26"/>
              </w:rPr>
              <w:footnoteReference w:id="3"/>
            </w:r>
            <w:r w:rsidRPr="00A52512">
              <w:rPr>
                <w:rFonts w:ascii="Times New Roman" w:hAnsi="Times New Roman"/>
                <w:sz w:val="26"/>
                <w:szCs w:val="26"/>
              </w:rPr>
              <w:t xml:space="preserve"> </w:t>
            </w:r>
          </w:p>
        </w:tc>
        <w:tc>
          <w:tcPr>
            <w:tcW w:w="479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Не установлены</w:t>
            </w:r>
          </w:p>
          <w:p w:rsidR="004F4D93" w:rsidRPr="00A52512" w:rsidRDefault="004F4D93" w:rsidP="00B516A3">
            <w:pPr>
              <w:tabs>
                <w:tab w:val="right" w:leader="dot" w:pos="9344"/>
              </w:tabs>
              <w:spacing w:after="0"/>
              <w:jc w:val="both"/>
              <w:rPr>
                <w:rFonts w:ascii="Times New Roman" w:hAnsi="Times New Roman"/>
                <w:sz w:val="26"/>
                <w:szCs w:val="26"/>
              </w:rPr>
            </w:pPr>
          </w:p>
          <w:p w:rsidR="004F4D93" w:rsidRPr="00A52512" w:rsidRDefault="004F4D93" w:rsidP="00B516A3">
            <w:pPr>
              <w:tabs>
                <w:tab w:val="right" w:leader="dot" w:pos="9344"/>
              </w:tabs>
              <w:spacing w:after="0"/>
              <w:jc w:val="both"/>
              <w:rPr>
                <w:rFonts w:ascii="Times New Roman" w:hAnsi="Times New Roman"/>
                <w:b/>
                <w:sz w:val="26"/>
                <w:szCs w:val="26"/>
              </w:rPr>
            </w:pPr>
          </w:p>
        </w:tc>
      </w:tr>
      <w:tr w:rsidR="004F4D93" w:rsidRPr="00A52512" w:rsidTr="00B516A3">
        <w:tc>
          <w:tcPr>
            <w:tcW w:w="4672" w:type="dxa"/>
            <w:vAlign w:val="center"/>
          </w:tcPr>
          <w:p w:rsidR="004F4D93" w:rsidRPr="00A52512" w:rsidRDefault="004F4D93" w:rsidP="00B516A3">
            <w:pPr>
              <w:tabs>
                <w:tab w:val="right" w:leader="dot" w:pos="9344"/>
              </w:tabs>
              <w:spacing w:after="0"/>
              <w:jc w:val="both"/>
              <w:rPr>
                <w:rFonts w:ascii="Times New Roman" w:hAnsi="Times New Roman"/>
                <w:b/>
                <w:sz w:val="26"/>
                <w:szCs w:val="26"/>
              </w:rPr>
            </w:pPr>
            <w:r w:rsidRPr="00A52512">
              <w:rPr>
                <w:rFonts w:ascii="Times New Roman" w:hAnsi="Times New Roman"/>
                <w:sz w:val="26"/>
                <w:szCs w:val="26"/>
              </w:rPr>
              <w:t xml:space="preserve">Требование к товару </w:t>
            </w:r>
          </w:p>
        </w:tc>
        <w:tc>
          <w:tcPr>
            <w:tcW w:w="4792" w:type="dxa"/>
            <w:vAlign w:val="center"/>
          </w:tcPr>
          <w:p w:rsidR="004F4D93" w:rsidRPr="00A52512" w:rsidRDefault="004F4D93" w:rsidP="00B516A3">
            <w:pPr>
              <w:tabs>
                <w:tab w:val="right" w:leader="dot" w:pos="9344"/>
              </w:tabs>
              <w:spacing w:after="0"/>
              <w:jc w:val="both"/>
              <w:rPr>
                <w:rFonts w:ascii="Times New Roman" w:hAnsi="Times New Roman"/>
                <w:b/>
                <w:sz w:val="26"/>
                <w:szCs w:val="26"/>
              </w:rPr>
            </w:pPr>
            <w:r w:rsidRPr="00A52512">
              <w:rPr>
                <w:rFonts w:ascii="Times New Roman" w:hAnsi="Times New Roman"/>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4F4D93" w:rsidRPr="00A52512" w:rsidTr="00B516A3">
        <w:tc>
          <w:tcPr>
            <w:tcW w:w="4672" w:type="dxa"/>
            <w:vAlign w:val="center"/>
          </w:tcPr>
          <w:p w:rsidR="004F4D93" w:rsidRPr="00A52512" w:rsidRDefault="004F4D93" w:rsidP="00B516A3">
            <w:pPr>
              <w:tabs>
                <w:tab w:val="right" w:leader="dot" w:pos="9344"/>
              </w:tabs>
              <w:spacing w:after="0"/>
              <w:rPr>
                <w:rFonts w:ascii="Times New Roman" w:hAnsi="Times New Roman"/>
                <w:sz w:val="26"/>
                <w:szCs w:val="26"/>
              </w:rPr>
            </w:pPr>
            <w:r w:rsidRPr="00A52512">
              <w:rPr>
                <w:rFonts w:ascii="Times New Roman" w:hAnsi="Times New Roman"/>
                <w:sz w:val="26"/>
                <w:szCs w:val="26"/>
              </w:rPr>
              <w:t>Изображение поставляемого товара, позволяющее его идентифицировать и подготовить заявку</w:t>
            </w:r>
          </w:p>
        </w:tc>
        <w:tc>
          <w:tcPr>
            <w:tcW w:w="479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Не применяется</w:t>
            </w:r>
          </w:p>
          <w:p w:rsidR="004F4D93" w:rsidRPr="00A52512" w:rsidRDefault="004F4D93" w:rsidP="00B516A3">
            <w:pPr>
              <w:tabs>
                <w:tab w:val="right" w:leader="dot" w:pos="9344"/>
              </w:tabs>
              <w:spacing w:after="0"/>
              <w:jc w:val="both"/>
              <w:rPr>
                <w:rFonts w:ascii="Times New Roman" w:hAnsi="Times New Roman"/>
                <w:sz w:val="26"/>
                <w:szCs w:val="26"/>
              </w:rPr>
            </w:pPr>
          </w:p>
          <w:p w:rsidR="004F4D93" w:rsidRPr="00A52512" w:rsidRDefault="004F4D93" w:rsidP="00B516A3">
            <w:pPr>
              <w:tabs>
                <w:tab w:val="right" w:leader="dot" w:pos="9344"/>
              </w:tabs>
              <w:spacing w:after="0"/>
              <w:jc w:val="both"/>
              <w:rPr>
                <w:rFonts w:ascii="Times New Roman" w:hAnsi="Times New Roman"/>
                <w:sz w:val="26"/>
                <w:szCs w:val="26"/>
              </w:rPr>
            </w:pPr>
          </w:p>
        </w:tc>
      </w:tr>
      <w:tr w:rsidR="004F4D93" w:rsidRPr="00A52512" w:rsidTr="00B516A3">
        <w:tc>
          <w:tcPr>
            <w:tcW w:w="4672" w:type="dxa"/>
            <w:vAlign w:val="center"/>
          </w:tcPr>
          <w:p w:rsidR="004F4D93" w:rsidRPr="00A52512" w:rsidRDefault="004F4D93" w:rsidP="00B516A3">
            <w:pPr>
              <w:tabs>
                <w:tab w:val="right" w:leader="dot" w:pos="9344"/>
              </w:tabs>
              <w:spacing w:after="0"/>
              <w:rPr>
                <w:rFonts w:ascii="Times New Roman" w:hAnsi="Times New Roman"/>
                <w:sz w:val="26"/>
                <w:szCs w:val="26"/>
              </w:rPr>
            </w:pPr>
            <w:r w:rsidRPr="00A52512">
              <w:rPr>
                <w:rFonts w:ascii="Times New Roman" w:hAnsi="Times New Roman"/>
                <w:sz w:val="26"/>
                <w:szCs w:val="26"/>
              </w:rPr>
              <w:t>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tc>
        <w:tc>
          <w:tcPr>
            <w:tcW w:w="479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Не применяется</w:t>
            </w:r>
          </w:p>
          <w:p w:rsidR="004F4D93" w:rsidRPr="00A52512" w:rsidRDefault="004F4D93" w:rsidP="00B516A3">
            <w:pPr>
              <w:tabs>
                <w:tab w:val="right" w:leader="dot" w:pos="9344"/>
              </w:tabs>
              <w:spacing w:after="0"/>
              <w:jc w:val="both"/>
              <w:rPr>
                <w:rFonts w:ascii="Times New Roman" w:hAnsi="Times New Roman"/>
                <w:sz w:val="26"/>
                <w:szCs w:val="26"/>
              </w:rPr>
            </w:pPr>
          </w:p>
          <w:p w:rsidR="004F4D93" w:rsidRPr="00A52512" w:rsidRDefault="004F4D93" w:rsidP="00B516A3">
            <w:pPr>
              <w:tabs>
                <w:tab w:val="right" w:leader="dot" w:pos="9344"/>
              </w:tabs>
              <w:spacing w:after="0"/>
              <w:jc w:val="both"/>
              <w:rPr>
                <w:rFonts w:ascii="Times New Roman" w:hAnsi="Times New Roman"/>
                <w:sz w:val="26"/>
                <w:szCs w:val="26"/>
              </w:rPr>
            </w:pPr>
          </w:p>
        </w:tc>
      </w:tr>
      <w:tr w:rsidR="004F4D93" w:rsidRPr="00A52512" w:rsidTr="00B516A3">
        <w:tc>
          <w:tcPr>
            <w:tcW w:w="4672" w:type="dxa"/>
            <w:vAlign w:val="center"/>
          </w:tcPr>
          <w:p w:rsidR="004F4D93" w:rsidRPr="00A52512" w:rsidRDefault="004F4D93" w:rsidP="00B516A3">
            <w:pPr>
              <w:tabs>
                <w:tab w:val="right" w:leader="dot" w:pos="9344"/>
              </w:tabs>
              <w:spacing w:after="0"/>
              <w:rPr>
                <w:rFonts w:ascii="Times New Roman" w:hAnsi="Times New Roman"/>
                <w:sz w:val="26"/>
                <w:szCs w:val="26"/>
              </w:rPr>
            </w:pPr>
            <w:r w:rsidRPr="00A52512">
              <w:rPr>
                <w:rFonts w:ascii="Times New Roman" w:hAnsi="Times New Roman"/>
                <w:sz w:val="26"/>
                <w:szCs w:val="26"/>
              </w:rPr>
              <w:t xml:space="preserve">Информация о месте, датах начала и окончания, порядке и графике осмотра участниками закупки образца или </w:t>
            </w:r>
            <w:r w:rsidRPr="00A52512">
              <w:rPr>
                <w:rFonts w:ascii="Times New Roman" w:hAnsi="Times New Roman"/>
                <w:sz w:val="26"/>
                <w:szCs w:val="26"/>
              </w:rPr>
              <w:lastRenderedPageBreak/>
              <w:t>макета товара, на поставку которого заключается контракт</w:t>
            </w:r>
            <w:r w:rsidRPr="00A52512">
              <w:rPr>
                <w:rStyle w:val="a8"/>
                <w:rFonts w:ascii="Times New Roman" w:hAnsi="Times New Roman"/>
                <w:sz w:val="26"/>
                <w:szCs w:val="26"/>
              </w:rPr>
              <w:footnoteReference w:id="4"/>
            </w:r>
          </w:p>
        </w:tc>
        <w:tc>
          <w:tcPr>
            <w:tcW w:w="479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lastRenderedPageBreak/>
              <w:t>Не применяется</w:t>
            </w:r>
          </w:p>
          <w:p w:rsidR="004F4D93" w:rsidRPr="00A52512" w:rsidRDefault="004F4D93" w:rsidP="00B516A3">
            <w:pPr>
              <w:tabs>
                <w:tab w:val="right" w:leader="dot" w:pos="9344"/>
              </w:tabs>
              <w:spacing w:after="0"/>
              <w:jc w:val="both"/>
              <w:rPr>
                <w:rFonts w:ascii="Times New Roman" w:hAnsi="Times New Roman"/>
                <w:sz w:val="26"/>
                <w:szCs w:val="26"/>
              </w:rPr>
            </w:pPr>
          </w:p>
          <w:p w:rsidR="004F4D93" w:rsidRPr="00A52512" w:rsidRDefault="004F4D93" w:rsidP="00B516A3">
            <w:pPr>
              <w:spacing w:after="0"/>
              <w:jc w:val="both"/>
              <w:rPr>
                <w:rFonts w:ascii="Times New Roman" w:hAnsi="Times New Roman"/>
                <w:sz w:val="26"/>
                <w:szCs w:val="26"/>
              </w:rPr>
            </w:pPr>
          </w:p>
        </w:tc>
      </w:tr>
      <w:tr w:rsidR="004F4D93" w:rsidRPr="00A52512" w:rsidTr="00B516A3">
        <w:tc>
          <w:tcPr>
            <w:tcW w:w="467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lastRenderedPageBreak/>
              <w:t>Функциональные, технические и качественные характеристики, эксплуатационные характеристики объекта закупки (при необходимости),</w:t>
            </w:r>
            <w:r w:rsidRPr="00A52512">
              <w:t xml:space="preserve"> П</w:t>
            </w:r>
            <w:r w:rsidRPr="00A52512">
              <w:rPr>
                <w:rFonts w:ascii="Times New Roman" w:hAnsi="Times New Roman"/>
                <w:sz w:val="26"/>
                <w:szCs w:val="26"/>
              </w:rPr>
              <w:t>оказатели, позволяющие определить соответствие закупаемых товара, работы, услуги установленным заказчиком требованиям</w:t>
            </w:r>
            <w:r w:rsidRPr="00A52512">
              <w:t>.</w:t>
            </w:r>
            <w:r w:rsidRPr="00A52512">
              <w:rPr>
                <w:rFonts w:ascii="Times New Roman" w:hAnsi="Times New Roman"/>
                <w:sz w:val="26"/>
                <w:szCs w:val="26"/>
              </w:rPr>
              <w:t xml:space="preserve"> </w:t>
            </w:r>
          </w:p>
        </w:tc>
        <w:tc>
          <w:tcPr>
            <w:tcW w:w="4792" w:type="dxa"/>
            <w:vAlign w:val="center"/>
          </w:tcPr>
          <w:p w:rsidR="004F4D93" w:rsidRPr="00A52512" w:rsidRDefault="004F4D93" w:rsidP="00B516A3">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 xml:space="preserve">Указано в Спецификации </w:t>
            </w:r>
          </w:p>
        </w:tc>
      </w:tr>
      <w:tr w:rsidR="00FB6DC9" w:rsidRPr="00A52512" w:rsidTr="00B516A3">
        <w:tc>
          <w:tcPr>
            <w:tcW w:w="4672" w:type="dxa"/>
            <w:vAlign w:val="center"/>
          </w:tcPr>
          <w:p w:rsidR="00FB6DC9" w:rsidRPr="00A52512" w:rsidRDefault="00FB6DC9" w:rsidP="00FB6DC9">
            <w:pPr>
              <w:tabs>
                <w:tab w:val="right" w:leader="dot" w:pos="9344"/>
              </w:tabs>
              <w:spacing w:after="0"/>
              <w:jc w:val="both"/>
              <w:rPr>
                <w:rFonts w:ascii="Times New Roman" w:hAnsi="Times New Roman"/>
                <w:sz w:val="26"/>
                <w:szCs w:val="26"/>
              </w:rPr>
            </w:pPr>
            <w:r w:rsidRPr="00A52512">
              <w:rPr>
                <w:rFonts w:ascii="Times New Roman" w:hAnsi="Times New Roman"/>
                <w:sz w:val="26"/>
                <w:szCs w:val="26"/>
              </w:rPr>
              <w:t>Обоснование необходимости использования показателей, требований, условных обозначений и терминологии, отличных от предусмотренных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tc>
        <w:tc>
          <w:tcPr>
            <w:tcW w:w="4792" w:type="dxa"/>
            <w:vAlign w:val="center"/>
          </w:tcPr>
          <w:p w:rsidR="00FB6DC9" w:rsidRPr="000D0BAE" w:rsidRDefault="00FB6DC9" w:rsidP="00FB6DC9">
            <w:pPr>
              <w:tabs>
                <w:tab w:val="right" w:leader="dot" w:pos="9344"/>
              </w:tabs>
              <w:spacing w:after="0"/>
              <w:jc w:val="both"/>
              <w:rPr>
                <w:rFonts w:ascii="Times New Roman" w:hAnsi="Times New Roman"/>
                <w:sz w:val="26"/>
                <w:szCs w:val="26"/>
              </w:rPr>
            </w:pPr>
            <w:r w:rsidRPr="007604BC">
              <w:rPr>
                <w:rFonts w:ascii="Times New Roman" w:hAnsi="Times New Roman"/>
                <w:sz w:val="26"/>
                <w:szCs w:val="26"/>
              </w:rPr>
              <w:t>При составлении описания объекта закупки используются показатели, требования, условные обозначения и терминология, отличные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в связи с тем, что на территории РФ отсутствуют национальные стандарты (ГОСТы. СНиПы, технические регламенты)</w:t>
            </w:r>
          </w:p>
          <w:p w:rsidR="00FB6DC9" w:rsidRPr="000D0BAE" w:rsidRDefault="00FB6DC9" w:rsidP="00FB6DC9">
            <w:pPr>
              <w:tabs>
                <w:tab w:val="right" w:leader="dot" w:pos="9344"/>
              </w:tabs>
              <w:spacing w:after="0"/>
              <w:jc w:val="both"/>
              <w:rPr>
                <w:rFonts w:ascii="Times New Roman" w:hAnsi="Times New Roman"/>
                <w:sz w:val="26"/>
                <w:szCs w:val="26"/>
              </w:rPr>
            </w:pPr>
          </w:p>
        </w:tc>
      </w:tr>
    </w:tbl>
    <w:p w:rsidR="004F4D93" w:rsidRPr="00A52512" w:rsidRDefault="004F4D93" w:rsidP="004F4D93">
      <w:pPr>
        <w:tabs>
          <w:tab w:val="right" w:leader="dot" w:pos="9344"/>
        </w:tabs>
        <w:spacing w:after="0"/>
        <w:jc w:val="center"/>
        <w:rPr>
          <w:rFonts w:ascii="Times New Roman" w:hAnsi="Times New Roman"/>
          <w:b/>
          <w:sz w:val="26"/>
          <w:szCs w:val="26"/>
        </w:rPr>
      </w:pPr>
    </w:p>
    <w:p w:rsidR="004F4D93" w:rsidRPr="00A52512" w:rsidRDefault="004F4D93" w:rsidP="004F4D93">
      <w:pPr>
        <w:tabs>
          <w:tab w:val="right" w:leader="dot" w:pos="9344"/>
        </w:tabs>
        <w:spacing w:after="0"/>
        <w:jc w:val="both"/>
        <w:rPr>
          <w:rFonts w:ascii="Times New Roman" w:hAnsi="Times New Roman"/>
          <w:b/>
          <w:sz w:val="26"/>
          <w:szCs w:val="26"/>
        </w:rPr>
      </w:pPr>
    </w:p>
    <w:p w:rsidR="004F4D93" w:rsidRPr="00A52512" w:rsidRDefault="004F4D93" w:rsidP="004F4D93">
      <w:pPr>
        <w:spacing w:after="0"/>
        <w:rPr>
          <w:rFonts w:ascii="Times New Roman" w:hAnsi="Times New Roman"/>
          <w:b/>
          <w:sz w:val="26"/>
          <w:szCs w:val="26"/>
        </w:rPr>
      </w:pPr>
      <w:r w:rsidRPr="00A52512">
        <w:rPr>
          <w:rFonts w:ascii="Times New Roman" w:hAnsi="Times New Roman"/>
          <w:b/>
          <w:sz w:val="26"/>
          <w:szCs w:val="26"/>
        </w:rPr>
        <w:br w:type="page"/>
      </w:r>
    </w:p>
    <w:p w:rsidR="004F4D93" w:rsidRDefault="004F4D93" w:rsidP="004F4D93">
      <w:pPr>
        <w:autoSpaceDE w:val="0"/>
        <w:spacing w:after="0"/>
        <w:rPr>
          <w:rFonts w:ascii="Times New Roman" w:hAnsi="Times New Roman"/>
          <w:color w:val="000000"/>
          <w:sz w:val="26"/>
          <w:szCs w:val="26"/>
          <w:lang w:eastAsia="ru-RU"/>
        </w:rPr>
        <w:sectPr w:rsidR="004F4D93" w:rsidSect="00E702B4">
          <w:pgSz w:w="11906" w:h="16838"/>
          <w:pgMar w:top="1134" w:right="850" w:bottom="1134" w:left="1701" w:header="708" w:footer="708" w:gutter="0"/>
          <w:cols w:space="708"/>
          <w:titlePg/>
          <w:docGrid w:linePitch="360"/>
        </w:sectPr>
      </w:pPr>
    </w:p>
    <w:p w:rsidR="004F4D93" w:rsidRPr="00A52512" w:rsidRDefault="004F4D93" w:rsidP="004F4D93">
      <w:pPr>
        <w:autoSpaceDE w:val="0"/>
        <w:spacing w:after="0"/>
        <w:rPr>
          <w:rFonts w:ascii="Times New Roman" w:hAnsi="Times New Roman"/>
          <w:color w:val="000000"/>
          <w:sz w:val="26"/>
          <w:szCs w:val="26"/>
          <w:lang w:eastAsia="ru-RU"/>
        </w:rPr>
      </w:pPr>
    </w:p>
    <w:p w:rsidR="004F4D93" w:rsidRDefault="004F4D93" w:rsidP="004F4D93">
      <w:pPr>
        <w:widowControl w:val="0"/>
        <w:tabs>
          <w:tab w:val="right" w:leader="dot" w:pos="9344"/>
        </w:tabs>
        <w:spacing w:after="0" w:line="240" w:lineRule="auto"/>
        <w:jc w:val="center"/>
        <w:rPr>
          <w:rFonts w:ascii="Times New Roman" w:hAnsi="Times New Roman"/>
          <w:b/>
          <w:sz w:val="26"/>
          <w:szCs w:val="26"/>
        </w:rPr>
      </w:pPr>
      <w:r w:rsidRPr="0031641F">
        <w:rPr>
          <w:rFonts w:ascii="Times New Roman" w:eastAsia="Times New Roman" w:hAnsi="Times New Roman"/>
          <w:b/>
          <w:sz w:val="26"/>
          <w:szCs w:val="26"/>
          <w:lang w:eastAsia="ru-RU"/>
        </w:rPr>
        <w:t>Технические и функциональные характеристики (потребительские свойства) товара</w:t>
      </w:r>
      <w:r w:rsidRPr="0031641F">
        <w:rPr>
          <w:rFonts w:ascii="Times New Roman" w:hAnsi="Times New Roman"/>
          <w:b/>
          <w:sz w:val="26"/>
          <w:szCs w:val="26"/>
        </w:rPr>
        <w:t xml:space="preserve">   </w:t>
      </w:r>
    </w:p>
    <w:p w:rsidR="002F2924" w:rsidRDefault="002F2924" w:rsidP="004F4D93">
      <w:pPr>
        <w:widowControl w:val="0"/>
        <w:tabs>
          <w:tab w:val="right" w:leader="dot" w:pos="9344"/>
        </w:tabs>
        <w:spacing w:after="0" w:line="240" w:lineRule="auto"/>
        <w:jc w:val="center"/>
        <w:rPr>
          <w:rFonts w:ascii="Times New Roman" w:hAnsi="Times New Roman"/>
          <w:b/>
          <w:sz w:val="26"/>
          <w:szCs w:val="26"/>
        </w:rPr>
      </w:pPr>
    </w:p>
    <w:tbl>
      <w:tblPr>
        <w:tblStyle w:val="TableStyle0"/>
        <w:tblW w:w="5008" w:type="pct"/>
        <w:tblInd w:w="-24" w:type="dxa"/>
        <w:tblLook w:val="04A0" w:firstRow="1" w:lastRow="0" w:firstColumn="1" w:lastColumn="0" w:noHBand="0" w:noVBand="1"/>
      </w:tblPr>
      <w:tblGrid>
        <w:gridCol w:w="819"/>
        <w:gridCol w:w="1189"/>
        <w:gridCol w:w="2085"/>
        <w:gridCol w:w="833"/>
        <w:gridCol w:w="833"/>
        <w:gridCol w:w="4465"/>
        <w:gridCol w:w="4357"/>
      </w:tblGrid>
      <w:tr w:rsidR="002F2924" w:rsidTr="00995AD4">
        <w:trPr>
          <w:cantSplit/>
        </w:trPr>
        <w:tc>
          <w:tcPr>
            <w:tcW w:w="800" w:type="dxa"/>
            <w:tcBorders>
              <w:top w:val="single" w:sz="5" w:space="0" w:color="auto"/>
              <w:left w:val="single" w:sz="5" w:space="0" w:color="auto"/>
              <w:bottom w:val="single" w:sz="5" w:space="0" w:color="auto"/>
              <w:right w:val="single" w:sz="5" w:space="0" w:color="auto"/>
            </w:tcBorders>
            <w:shd w:val="clear" w:color="auto" w:fill="auto"/>
            <w:vAlign w:val="center"/>
          </w:tcPr>
          <w:p w:rsidR="002F2924" w:rsidRDefault="002F2924" w:rsidP="00995AD4">
            <w:pPr>
              <w:jc w:val="center"/>
            </w:pPr>
            <w:r>
              <w:rPr>
                <w:sz w:val="15"/>
                <w:szCs w:val="15"/>
              </w:rPr>
              <w:t>№ п/п</w:t>
            </w:r>
          </w:p>
        </w:tc>
        <w:tc>
          <w:tcPr>
            <w:tcW w:w="1162" w:type="dxa"/>
            <w:tcBorders>
              <w:top w:val="single" w:sz="5" w:space="0" w:color="auto"/>
              <w:left w:val="single" w:sz="5" w:space="0" w:color="auto"/>
              <w:bottom w:val="single" w:sz="5" w:space="0" w:color="auto"/>
              <w:right w:val="single" w:sz="5" w:space="0" w:color="auto"/>
            </w:tcBorders>
            <w:shd w:val="clear" w:color="auto" w:fill="auto"/>
            <w:vAlign w:val="center"/>
          </w:tcPr>
          <w:p w:rsidR="002F2924" w:rsidRDefault="002F2924" w:rsidP="00995AD4">
            <w:pPr>
              <w:jc w:val="center"/>
            </w:pPr>
            <w:r>
              <w:rPr>
                <w:sz w:val="15"/>
                <w:szCs w:val="15"/>
              </w:rPr>
              <w:t>Код ТМЦ</w:t>
            </w:r>
          </w:p>
        </w:tc>
        <w:tc>
          <w:tcPr>
            <w:tcW w:w="2038" w:type="dxa"/>
            <w:tcBorders>
              <w:top w:val="single" w:sz="5" w:space="0" w:color="auto"/>
              <w:left w:val="single" w:sz="5" w:space="0" w:color="auto"/>
              <w:bottom w:val="single" w:sz="5" w:space="0" w:color="auto"/>
              <w:right w:val="single" w:sz="5" w:space="0" w:color="auto"/>
            </w:tcBorders>
            <w:shd w:val="clear" w:color="auto" w:fill="auto"/>
            <w:vAlign w:val="center"/>
          </w:tcPr>
          <w:p w:rsidR="002F2924" w:rsidRDefault="002F2924" w:rsidP="00995AD4">
            <w:pPr>
              <w:jc w:val="center"/>
            </w:pPr>
            <w:r>
              <w:rPr>
                <w:sz w:val="15"/>
                <w:szCs w:val="15"/>
              </w:rPr>
              <w:t>Наименование товара</w:t>
            </w:r>
          </w:p>
        </w:tc>
        <w:tc>
          <w:tcPr>
            <w:tcW w:w="814" w:type="dxa"/>
            <w:tcBorders>
              <w:top w:val="single" w:sz="5" w:space="0" w:color="auto"/>
              <w:left w:val="single" w:sz="5" w:space="0" w:color="auto"/>
              <w:bottom w:val="single" w:sz="5" w:space="0" w:color="auto"/>
              <w:right w:val="single" w:sz="5" w:space="0" w:color="auto"/>
            </w:tcBorders>
            <w:shd w:val="clear" w:color="auto" w:fill="auto"/>
            <w:vAlign w:val="center"/>
          </w:tcPr>
          <w:p w:rsidR="002F2924" w:rsidRDefault="002F2924" w:rsidP="00995AD4">
            <w:pPr>
              <w:jc w:val="center"/>
            </w:pPr>
            <w:r>
              <w:rPr>
                <w:sz w:val="15"/>
                <w:szCs w:val="15"/>
              </w:rPr>
              <w:t>Кол-во</w:t>
            </w:r>
          </w:p>
        </w:tc>
        <w:tc>
          <w:tcPr>
            <w:tcW w:w="814" w:type="dxa"/>
            <w:tcBorders>
              <w:top w:val="single" w:sz="5" w:space="0" w:color="auto"/>
              <w:left w:val="single" w:sz="5" w:space="0" w:color="auto"/>
              <w:bottom w:val="single" w:sz="5" w:space="0" w:color="auto"/>
              <w:right w:val="single" w:sz="5" w:space="0" w:color="auto"/>
            </w:tcBorders>
            <w:shd w:val="clear" w:color="auto" w:fill="auto"/>
            <w:vAlign w:val="center"/>
          </w:tcPr>
          <w:p w:rsidR="002F2924" w:rsidRDefault="002F2924" w:rsidP="00995AD4">
            <w:pPr>
              <w:jc w:val="center"/>
            </w:pPr>
            <w:r>
              <w:rPr>
                <w:sz w:val="15"/>
                <w:szCs w:val="15"/>
              </w:rPr>
              <w:t>Ед. изм.</w:t>
            </w:r>
          </w:p>
        </w:tc>
        <w:tc>
          <w:tcPr>
            <w:tcW w:w="8621"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2F2924" w:rsidRDefault="002F2924" w:rsidP="00995AD4">
            <w:pPr>
              <w:jc w:val="center"/>
            </w:pPr>
            <w:r>
              <w:rPr>
                <w:sz w:val="15"/>
                <w:szCs w:val="15"/>
              </w:rPr>
              <w:t>Технические и функциональные характеристики (потребительские свойства) товара</w:t>
            </w:r>
          </w:p>
        </w:tc>
      </w:tr>
      <w:tr w:rsidR="002F2924" w:rsidTr="00995AD4">
        <w:trPr>
          <w:cantSplit/>
        </w:trPr>
        <w:tc>
          <w:tcPr>
            <w:tcW w:w="800"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1</w:t>
            </w:r>
          </w:p>
        </w:tc>
        <w:tc>
          <w:tcPr>
            <w:tcW w:w="1162"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000062936</w:t>
            </w:r>
          </w:p>
        </w:tc>
        <w:tc>
          <w:tcPr>
            <w:tcW w:w="2038"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Дозиметр-радиометр</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1</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proofErr w:type="spellStart"/>
            <w:r>
              <w:rPr>
                <w:sz w:val="15"/>
                <w:szCs w:val="15"/>
              </w:rPr>
              <w:t>компл</w:t>
            </w:r>
            <w:proofErr w:type="spellEnd"/>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Дозиметр-радиометр в составе:</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компл</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1. Пульт индикации</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Назначение </w:t>
            </w:r>
            <w:r w:rsidRPr="00F37B5D">
              <w:rPr>
                <w:sz w:val="15"/>
                <w:szCs w:val="15"/>
              </w:rPr>
              <w:t>пульта индикации</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для отображения результатов измерения и управления дозиметром</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Дисплей с графическим интерфейсом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наличие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Возможность подключения к блокам детектирования как по беспроводному каналу, так и при помощи кабеля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наличие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Хранение информации в энергонезависимой памяти</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наличие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Возможность подключения к компьютеру по радиоканалу</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наличие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Время непрерывной работы</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18 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2. Модуль беспроводной/проводной связи</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2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Назначение</w:t>
            </w:r>
            <w:r>
              <w:t xml:space="preserve"> </w:t>
            </w:r>
            <w:r w:rsidRPr="00F37B5D">
              <w:rPr>
                <w:sz w:val="15"/>
                <w:szCs w:val="15"/>
              </w:rPr>
              <w:t>модуля беспроводной/проводной связи</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питание блока детектирования встроенным аккумулятором, передача информации с блока детектирования на пульт</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Автоматический выбор режима подключения блока детектирования к пульту: при наличии кабельного подключения блок детектирования подключается по проводной связи, при отсутствии кабеля – автоматическое подключение по радиоканалу</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соответствие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3. Блок детектирования гамма-излучения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энергий регистрируемого фотонного излучения, </w:t>
            </w:r>
            <w:r w:rsidRPr="008B0713">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0,05 </w:t>
            </w:r>
            <w:r w:rsidRPr="008B0713">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энергий регистрируемого фотонного излучения, </w:t>
            </w:r>
            <w:r w:rsidRPr="008B0713">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3 </w:t>
            </w:r>
            <w:r w:rsidRPr="008B0713">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мощности </w:t>
            </w:r>
            <w:proofErr w:type="spellStart"/>
            <w:r>
              <w:rPr>
                <w:sz w:val="15"/>
                <w:szCs w:val="15"/>
              </w:rPr>
              <w:t>амбиентного</w:t>
            </w:r>
            <w:proofErr w:type="spellEnd"/>
            <w:r>
              <w:rPr>
                <w:sz w:val="15"/>
                <w:szCs w:val="15"/>
              </w:rPr>
              <w:t xml:space="preserve"> эквивалента дозы фотонного излучения, </w:t>
            </w:r>
            <w:proofErr w:type="spellStart"/>
            <w:r w:rsidRPr="008B0713">
              <w:rPr>
                <w:sz w:val="15"/>
                <w:szCs w:val="15"/>
              </w:rPr>
              <w:t>мкЗв</w:t>
            </w:r>
            <w:proofErr w:type="spellEnd"/>
            <w:r w:rsidRPr="008B0713">
              <w:rPr>
                <w:sz w:val="15"/>
                <w:szCs w:val="15"/>
              </w:rPr>
              <w:t>/ч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proofErr w:type="spellStart"/>
            <w:r w:rsidRPr="008B0713">
              <w:rPr>
                <w:sz w:val="15"/>
                <w:szCs w:val="15"/>
              </w:rPr>
              <w:t>мкЗв</w:t>
            </w:r>
            <w:proofErr w:type="spellEnd"/>
            <w:r w:rsidRPr="008B0713">
              <w:rPr>
                <w:sz w:val="15"/>
                <w:szCs w:val="15"/>
              </w:rPr>
              <w:t>/ч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мощности </w:t>
            </w:r>
            <w:proofErr w:type="spellStart"/>
            <w:r>
              <w:rPr>
                <w:sz w:val="15"/>
                <w:szCs w:val="15"/>
              </w:rPr>
              <w:t>амбиентного</w:t>
            </w:r>
            <w:proofErr w:type="spellEnd"/>
            <w:r>
              <w:rPr>
                <w:sz w:val="15"/>
                <w:szCs w:val="15"/>
              </w:rPr>
              <w:t xml:space="preserve"> эквивалента дозы фотонного излучения, </w:t>
            </w:r>
            <w:r w:rsidRPr="008B0713">
              <w:rPr>
                <w:sz w:val="15"/>
                <w:szCs w:val="15"/>
              </w:rPr>
              <w:t>Зв/ч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10 </w:t>
            </w:r>
            <w:r w:rsidRPr="008B0713">
              <w:rPr>
                <w:sz w:val="15"/>
                <w:szCs w:val="15"/>
              </w:rPr>
              <w:t>Зв/ч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w:t>
            </w:r>
            <w:proofErr w:type="spellStart"/>
            <w:r>
              <w:rPr>
                <w:sz w:val="15"/>
                <w:szCs w:val="15"/>
              </w:rPr>
              <w:t>амбиентного</w:t>
            </w:r>
            <w:proofErr w:type="spellEnd"/>
            <w:r>
              <w:rPr>
                <w:sz w:val="15"/>
                <w:szCs w:val="15"/>
              </w:rPr>
              <w:t xml:space="preserve"> эквивалента дозы фотонного излучения,</w:t>
            </w:r>
            <w:r w:rsidRPr="008B0713">
              <w:rPr>
                <w:sz w:val="15"/>
                <w:szCs w:val="15"/>
              </w:rPr>
              <w:t xml:space="preserve"> </w:t>
            </w:r>
            <w:proofErr w:type="spellStart"/>
            <w:r w:rsidRPr="008B0713">
              <w:rPr>
                <w:sz w:val="15"/>
                <w:szCs w:val="15"/>
              </w:rPr>
              <w:t>мкЗв</w:t>
            </w:r>
            <w:proofErr w:type="spellEnd"/>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proofErr w:type="spellStart"/>
            <w:r w:rsidRPr="008B0713">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w:t>
            </w:r>
            <w:proofErr w:type="spellStart"/>
            <w:r>
              <w:rPr>
                <w:sz w:val="15"/>
                <w:szCs w:val="15"/>
              </w:rPr>
              <w:t>амбиентного</w:t>
            </w:r>
            <w:proofErr w:type="spellEnd"/>
            <w:r>
              <w:rPr>
                <w:sz w:val="15"/>
                <w:szCs w:val="15"/>
              </w:rPr>
              <w:t xml:space="preserve"> эквивалента дозы фотонного излучения, </w:t>
            </w:r>
            <w:r w:rsidRPr="008B0713">
              <w:rPr>
                <w:sz w:val="15"/>
                <w:szCs w:val="15"/>
              </w:rPr>
              <w:t>Зв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10 </w:t>
            </w:r>
            <w:r w:rsidRPr="008B0713">
              <w:rPr>
                <w:sz w:val="15"/>
                <w:szCs w:val="15"/>
              </w:rPr>
              <w:t>Зв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Пределы допускаемой основной относительной погрешности при измерений мощности </w:t>
            </w:r>
            <w:proofErr w:type="spellStart"/>
            <w:r>
              <w:rPr>
                <w:sz w:val="15"/>
                <w:szCs w:val="15"/>
              </w:rPr>
              <w:t>амбиентного</w:t>
            </w:r>
            <w:proofErr w:type="spellEnd"/>
            <w:r>
              <w:rPr>
                <w:sz w:val="15"/>
                <w:szCs w:val="15"/>
              </w:rPr>
              <w:t xml:space="preserve"> эквивалента дозы и </w:t>
            </w:r>
            <w:proofErr w:type="spellStart"/>
            <w:r>
              <w:rPr>
                <w:sz w:val="15"/>
                <w:szCs w:val="15"/>
              </w:rPr>
              <w:t>амбиентного</w:t>
            </w:r>
            <w:proofErr w:type="spellEnd"/>
            <w:r>
              <w:rPr>
                <w:sz w:val="15"/>
                <w:szCs w:val="15"/>
              </w:rPr>
              <w:t xml:space="preserve"> эквивалента дозы фотонного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13 %</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4. Блок детектирования нейтронного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мощности </w:t>
            </w:r>
            <w:proofErr w:type="spellStart"/>
            <w:r>
              <w:rPr>
                <w:sz w:val="15"/>
                <w:szCs w:val="15"/>
              </w:rPr>
              <w:t>амбиентного</w:t>
            </w:r>
            <w:proofErr w:type="spellEnd"/>
            <w:r>
              <w:rPr>
                <w:sz w:val="15"/>
                <w:szCs w:val="15"/>
              </w:rPr>
              <w:t xml:space="preserve"> эквивалента дозы нейтронного излучения, </w:t>
            </w:r>
            <w:proofErr w:type="spellStart"/>
            <w:r w:rsidRPr="008B0713">
              <w:rPr>
                <w:sz w:val="15"/>
                <w:szCs w:val="15"/>
              </w:rPr>
              <w:t>мкЗв</w:t>
            </w:r>
            <w:proofErr w:type="spellEnd"/>
            <w:r w:rsidRPr="008B0713">
              <w:rPr>
                <w:sz w:val="15"/>
                <w:szCs w:val="15"/>
              </w:rPr>
              <w:t>/ч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proofErr w:type="spellStart"/>
            <w:r w:rsidRPr="008B0713">
              <w:rPr>
                <w:sz w:val="15"/>
                <w:szCs w:val="15"/>
              </w:rPr>
              <w:t>мкЗв</w:t>
            </w:r>
            <w:proofErr w:type="spellEnd"/>
            <w:r w:rsidRPr="008B0713">
              <w:rPr>
                <w:sz w:val="15"/>
                <w:szCs w:val="15"/>
              </w:rPr>
              <w:t>/ч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мощности </w:t>
            </w:r>
            <w:proofErr w:type="spellStart"/>
            <w:r>
              <w:rPr>
                <w:sz w:val="15"/>
                <w:szCs w:val="15"/>
              </w:rPr>
              <w:t>амбиентного</w:t>
            </w:r>
            <w:proofErr w:type="spellEnd"/>
            <w:r>
              <w:rPr>
                <w:sz w:val="15"/>
                <w:szCs w:val="15"/>
              </w:rPr>
              <w:t xml:space="preserve"> эквивалента дозы нейтронного излучения, </w:t>
            </w:r>
            <w:r w:rsidRPr="008B0713">
              <w:rPr>
                <w:sz w:val="15"/>
                <w:szCs w:val="15"/>
              </w:rPr>
              <w:t>Зв/ч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r w:rsidRPr="008B0713">
              <w:rPr>
                <w:sz w:val="15"/>
                <w:szCs w:val="15"/>
              </w:rPr>
              <w:t>Зв/ч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w:t>
            </w:r>
            <w:proofErr w:type="spellStart"/>
            <w:r>
              <w:rPr>
                <w:sz w:val="15"/>
                <w:szCs w:val="15"/>
              </w:rPr>
              <w:t>амбиентного</w:t>
            </w:r>
            <w:proofErr w:type="spellEnd"/>
            <w:r>
              <w:rPr>
                <w:sz w:val="15"/>
                <w:szCs w:val="15"/>
              </w:rPr>
              <w:t xml:space="preserve"> эквивалента дозы нейтронного излучения, </w:t>
            </w:r>
            <w:proofErr w:type="spellStart"/>
            <w:r w:rsidRPr="008B0713">
              <w:rPr>
                <w:sz w:val="15"/>
                <w:szCs w:val="15"/>
              </w:rPr>
              <w:t>мкЗв</w:t>
            </w:r>
            <w:proofErr w:type="spellEnd"/>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 </w:t>
            </w:r>
            <w:proofErr w:type="spellStart"/>
            <w:r w:rsidRPr="008B0713">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w:t>
            </w:r>
            <w:proofErr w:type="spellStart"/>
            <w:r>
              <w:rPr>
                <w:sz w:val="15"/>
                <w:szCs w:val="15"/>
              </w:rPr>
              <w:t>амбиентного</w:t>
            </w:r>
            <w:proofErr w:type="spellEnd"/>
            <w:r>
              <w:rPr>
                <w:sz w:val="15"/>
                <w:szCs w:val="15"/>
              </w:rPr>
              <w:t xml:space="preserve"> эквивалента дозы нейтронного излучения, </w:t>
            </w:r>
            <w:r w:rsidRPr="008B0713">
              <w:rPr>
                <w:sz w:val="15"/>
                <w:szCs w:val="15"/>
              </w:rPr>
              <w:t>Зв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 </w:t>
            </w:r>
            <w:r w:rsidRPr="008B0713">
              <w:rPr>
                <w:sz w:val="15"/>
                <w:szCs w:val="15"/>
              </w:rPr>
              <w:t>Зв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Предел допускаемой основной относительной погрешности при измерении мощности </w:t>
            </w:r>
            <w:proofErr w:type="spellStart"/>
            <w:r>
              <w:rPr>
                <w:sz w:val="15"/>
                <w:szCs w:val="15"/>
              </w:rPr>
              <w:t>амбиентного</w:t>
            </w:r>
            <w:proofErr w:type="spellEnd"/>
            <w:r>
              <w:rPr>
                <w:sz w:val="15"/>
                <w:szCs w:val="15"/>
              </w:rPr>
              <w:t xml:space="preserve"> эквивалента дозы нейтронного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(20+2,5/Н*) %, где Н* - безразмерная величина, численно равная измеренному значению МАЭД в </w:t>
            </w:r>
            <w:proofErr w:type="spellStart"/>
            <w:r>
              <w:rPr>
                <w:sz w:val="15"/>
                <w:szCs w:val="15"/>
              </w:rPr>
              <w:t>мкЗв</w:t>
            </w:r>
            <w:proofErr w:type="spellEnd"/>
            <w:r>
              <w:rPr>
                <w:sz w:val="15"/>
                <w:szCs w:val="15"/>
              </w:rPr>
              <w:t>/ч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Предел допускаемой основной относительной погрешности при измерении </w:t>
            </w:r>
            <w:proofErr w:type="spellStart"/>
            <w:r>
              <w:rPr>
                <w:sz w:val="15"/>
                <w:szCs w:val="15"/>
              </w:rPr>
              <w:t>амбиентного</w:t>
            </w:r>
            <w:proofErr w:type="spellEnd"/>
            <w:r>
              <w:rPr>
                <w:sz w:val="15"/>
                <w:szCs w:val="15"/>
              </w:rPr>
              <w:t xml:space="preserve"> эквивалента дозы нейтронного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(20+10/Н*) %, где Н* - безразмерная величина, численно равная измеренному значению АЭД в </w:t>
            </w:r>
            <w:proofErr w:type="spellStart"/>
            <w:r>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5. Блок детектирования альфа-излучения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плотности потока альфа-частиц, </w:t>
            </w:r>
            <w:r w:rsidRPr="008B0713">
              <w:rPr>
                <w:sz w:val="15"/>
                <w:szCs w:val="15"/>
              </w:rPr>
              <w:t>мин^-1 см^-2</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r w:rsidRPr="008B0713">
              <w:rPr>
                <w:sz w:val="15"/>
                <w:szCs w:val="15"/>
              </w:rPr>
              <w:t>мин^-1 см^-2</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плотности потока альфа-частиц, </w:t>
            </w:r>
            <w:r w:rsidRPr="008B0713">
              <w:rPr>
                <w:sz w:val="15"/>
                <w:szCs w:val="15"/>
              </w:rPr>
              <w:t>мин^-1 см^-2</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100 000 </w:t>
            </w:r>
            <w:r w:rsidRPr="008B0713">
              <w:rPr>
                <w:sz w:val="15"/>
                <w:szCs w:val="15"/>
              </w:rPr>
              <w:t>мин^-1 см^-2</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Пределы допускаемой основной относительной погрешности при измерений плотности потока альфа-частиц</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(20+3/Р) %, где Р-безразмерная величина, численно равная измеренному значению</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6. Блок детектирования бета-излучения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плотности потока бета-частиц, </w:t>
            </w:r>
            <w:r w:rsidRPr="008B0713">
              <w:rPr>
                <w:sz w:val="15"/>
                <w:szCs w:val="15"/>
              </w:rPr>
              <w:t>мин^-1 см^-2</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 </w:t>
            </w:r>
            <w:r w:rsidRPr="008B0713">
              <w:rPr>
                <w:sz w:val="15"/>
                <w:szCs w:val="15"/>
              </w:rPr>
              <w:t>мин^-1 см^-2</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плотности потока бета-частиц, </w:t>
            </w:r>
            <w:r w:rsidRPr="008B0713">
              <w:rPr>
                <w:sz w:val="15"/>
                <w:szCs w:val="15"/>
              </w:rPr>
              <w:t>мин^-1 см^-2</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1 000 000 </w:t>
            </w:r>
            <w:r w:rsidRPr="008B0713">
              <w:rPr>
                <w:sz w:val="15"/>
                <w:szCs w:val="15"/>
              </w:rPr>
              <w:t>мин^-1 см^-2</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Пределы допускаемой основной относительной погрешности при измерений плотности потока бета-частиц</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20 %</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7. Штанга с держателем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Длина</w:t>
            </w:r>
            <w:r>
              <w:t xml:space="preserve"> </w:t>
            </w:r>
            <w:r w:rsidRPr="00EF6A85">
              <w:rPr>
                <w:sz w:val="15"/>
                <w:szCs w:val="15"/>
              </w:rPr>
              <w:t>штанги с держателем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1 144 мм</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Ширина</w:t>
            </w:r>
            <w:r>
              <w:t xml:space="preserve"> </w:t>
            </w:r>
            <w:r w:rsidRPr="00EF6A85">
              <w:rPr>
                <w:sz w:val="15"/>
                <w:szCs w:val="15"/>
              </w:rPr>
              <w:t>штанги с держателем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199 мм</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Высота</w:t>
            </w:r>
            <w:r>
              <w:t xml:space="preserve"> </w:t>
            </w:r>
            <w:r w:rsidRPr="00EF6A85">
              <w:rPr>
                <w:sz w:val="15"/>
                <w:szCs w:val="15"/>
              </w:rPr>
              <w:t>штанги с держателем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113 мм</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8. Штанга напольная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1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Длина </w:t>
            </w:r>
            <w:r w:rsidRPr="00593BE0">
              <w:rPr>
                <w:sz w:val="15"/>
                <w:szCs w:val="15"/>
              </w:rPr>
              <w:t>штанги напольной</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1 195 мм</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Ширина </w:t>
            </w:r>
            <w:r w:rsidRPr="00593BE0">
              <w:rPr>
                <w:sz w:val="15"/>
                <w:szCs w:val="15"/>
              </w:rPr>
              <w:t>штанги напольной</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305 мм</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Высота </w:t>
            </w:r>
            <w:r w:rsidRPr="00593BE0">
              <w:rPr>
                <w:sz w:val="15"/>
                <w:szCs w:val="15"/>
              </w:rPr>
              <w:t>штанги напольной</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383 мм</w:t>
            </w:r>
          </w:p>
        </w:tc>
      </w:tr>
      <w:tr w:rsidR="002F2924" w:rsidTr="00995AD4">
        <w:trPr>
          <w:cantSplit/>
        </w:trPr>
        <w:tc>
          <w:tcPr>
            <w:tcW w:w="800"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2</w:t>
            </w:r>
          </w:p>
        </w:tc>
        <w:tc>
          <w:tcPr>
            <w:tcW w:w="1162"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000062928</w:t>
            </w:r>
          </w:p>
        </w:tc>
        <w:tc>
          <w:tcPr>
            <w:tcW w:w="2038"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Дозиметр гамма и рентгеновского излучения*</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1</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proofErr w:type="spellStart"/>
            <w:r>
              <w:rPr>
                <w:sz w:val="15"/>
                <w:szCs w:val="15"/>
              </w:rPr>
              <w:t>шт</w:t>
            </w:r>
            <w:proofErr w:type="spellEnd"/>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энергий регистрируемого фотонного излучения, </w:t>
            </w:r>
            <w:r w:rsidRPr="00E3455B">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0,05 </w:t>
            </w:r>
            <w:r w:rsidRPr="00E3455B">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энергий регистрируемого фотонного излучения, </w:t>
            </w:r>
            <w:r w:rsidRPr="00E3455B">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3 </w:t>
            </w:r>
            <w:r w:rsidRPr="00E3455B">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мощности </w:t>
            </w:r>
            <w:proofErr w:type="spellStart"/>
            <w:r>
              <w:rPr>
                <w:sz w:val="15"/>
                <w:szCs w:val="15"/>
              </w:rPr>
              <w:t>амбиентного</w:t>
            </w:r>
            <w:proofErr w:type="spellEnd"/>
            <w:r>
              <w:rPr>
                <w:sz w:val="15"/>
                <w:szCs w:val="15"/>
              </w:rPr>
              <w:t xml:space="preserve"> эквивалента дозы фотонного излучения, </w:t>
            </w:r>
            <w:proofErr w:type="spellStart"/>
            <w:r w:rsidRPr="00E3455B">
              <w:rPr>
                <w:sz w:val="15"/>
                <w:szCs w:val="15"/>
              </w:rPr>
              <w:t>мкЗв</w:t>
            </w:r>
            <w:proofErr w:type="spellEnd"/>
            <w:r w:rsidRPr="00E3455B">
              <w:rPr>
                <w:sz w:val="15"/>
                <w:szCs w:val="15"/>
              </w:rPr>
              <w:t>/ч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proofErr w:type="spellStart"/>
            <w:r w:rsidRPr="00E3455B">
              <w:rPr>
                <w:sz w:val="15"/>
                <w:szCs w:val="15"/>
              </w:rPr>
              <w:t>мкЗв</w:t>
            </w:r>
            <w:proofErr w:type="spellEnd"/>
            <w:r w:rsidRPr="00E3455B">
              <w:rPr>
                <w:sz w:val="15"/>
                <w:szCs w:val="15"/>
              </w:rPr>
              <w:t>/ч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мощности </w:t>
            </w:r>
            <w:proofErr w:type="spellStart"/>
            <w:r>
              <w:rPr>
                <w:sz w:val="15"/>
                <w:szCs w:val="15"/>
              </w:rPr>
              <w:t>амбиентного</w:t>
            </w:r>
            <w:proofErr w:type="spellEnd"/>
            <w:r>
              <w:rPr>
                <w:sz w:val="15"/>
                <w:szCs w:val="15"/>
              </w:rPr>
              <w:t xml:space="preserve"> эквивалента дозы фотонного излучения, </w:t>
            </w:r>
            <w:proofErr w:type="spellStart"/>
            <w:r w:rsidRPr="00E3455B">
              <w:rPr>
                <w:sz w:val="15"/>
                <w:szCs w:val="15"/>
              </w:rPr>
              <w:t>мЗв</w:t>
            </w:r>
            <w:proofErr w:type="spellEnd"/>
            <w:r w:rsidRPr="00E3455B">
              <w:rPr>
                <w:sz w:val="15"/>
                <w:szCs w:val="15"/>
              </w:rPr>
              <w:t>/ч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50 </w:t>
            </w:r>
            <w:proofErr w:type="spellStart"/>
            <w:r w:rsidRPr="00E3455B">
              <w:rPr>
                <w:sz w:val="15"/>
                <w:szCs w:val="15"/>
              </w:rPr>
              <w:t>мЗв</w:t>
            </w:r>
            <w:proofErr w:type="spellEnd"/>
            <w:r w:rsidRPr="00E3455B">
              <w:rPr>
                <w:sz w:val="15"/>
                <w:szCs w:val="15"/>
              </w:rPr>
              <w:t>/ч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w:t>
            </w:r>
            <w:proofErr w:type="spellStart"/>
            <w:r>
              <w:rPr>
                <w:sz w:val="15"/>
                <w:szCs w:val="15"/>
              </w:rPr>
              <w:t>амбиентного</w:t>
            </w:r>
            <w:proofErr w:type="spellEnd"/>
            <w:r>
              <w:rPr>
                <w:sz w:val="15"/>
                <w:szCs w:val="15"/>
              </w:rPr>
              <w:t xml:space="preserve"> эквивалента дозы фотонного излучения, </w:t>
            </w:r>
            <w:proofErr w:type="spellStart"/>
            <w:r w:rsidRPr="00E3455B">
              <w:rPr>
                <w:sz w:val="15"/>
                <w:szCs w:val="15"/>
              </w:rPr>
              <w:t>мкЗв</w:t>
            </w:r>
            <w:proofErr w:type="spellEnd"/>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proofErr w:type="spellStart"/>
            <w:r w:rsidRPr="00E3455B">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w:t>
            </w:r>
            <w:proofErr w:type="spellStart"/>
            <w:r>
              <w:rPr>
                <w:sz w:val="15"/>
                <w:szCs w:val="15"/>
              </w:rPr>
              <w:t>амбиентного</w:t>
            </w:r>
            <w:proofErr w:type="spellEnd"/>
            <w:r>
              <w:rPr>
                <w:sz w:val="15"/>
                <w:szCs w:val="15"/>
              </w:rPr>
              <w:t xml:space="preserve"> эквивалента дозы фотонного излучения, </w:t>
            </w:r>
            <w:r w:rsidRPr="00E3455B">
              <w:rPr>
                <w:sz w:val="15"/>
                <w:szCs w:val="15"/>
              </w:rPr>
              <w:t>Зв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10 </w:t>
            </w:r>
            <w:r w:rsidRPr="00E3455B">
              <w:rPr>
                <w:sz w:val="15"/>
                <w:szCs w:val="15"/>
              </w:rPr>
              <w:t>Зв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Пределы допускаемой основной относительной погрешности при измерений мощности </w:t>
            </w:r>
            <w:proofErr w:type="spellStart"/>
            <w:r>
              <w:rPr>
                <w:sz w:val="15"/>
                <w:szCs w:val="15"/>
              </w:rPr>
              <w:t>амбиентного</w:t>
            </w:r>
            <w:proofErr w:type="spellEnd"/>
            <w:r>
              <w:rPr>
                <w:sz w:val="15"/>
                <w:szCs w:val="15"/>
              </w:rPr>
              <w:t xml:space="preserve"> эквивалента дозы фотонного излучения и </w:t>
            </w:r>
            <w:proofErr w:type="spellStart"/>
            <w:r>
              <w:rPr>
                <w:sz w:val="15"/>
                <w:szCs w:val="15"/>
              </w:rPr>
              <w:t>амбиентного</w:t>
            </w:r>
            <w:proofErr w:type="spellEnd"/>
            <w:r>
              <w:rPr>
                <w:sz w:val="15"/>
                <w:szCs w:val="15"/>
              </w:rPr>
              <w:t xml:space="preserve"> эквивалента дозы фотонного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АЭД в диапазоне 0,1 </w:t>
            </w:r>
            <w:proofErr w:type="spellStart"/>
            <w:r>
              <w:rPr>
                <w:sz w:val="15"/>
                <w:szCs w:val="15"/>
              </w:rPr>
              <w:t>мкЗв</w:t>
            </w:r>
            <w:proofErr w:type="spellEnd"/>
            <w:r>
              <w:rPr>
                <w:sz w:val="15"/>
                <w:szCs w:val="15"/>
              </w:rPr>
              <w:t xml:space="preserve"> – 10 Зв: ≤ 10 %</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Пределы допускаемой основной относительной погрешности при измерений мощности </w:t>
            </w:r>
            <w:proofErr w:type="spellStart"/>
            <w:r>
              <w:rPr>
                <w:sz w:val="15"/>
                <w:szCs w:val="15"/>
              </w:rPr>
              <w:t>амбиентного</w:t>
            </w:r>
            <w:proofErr w:type="spellEnd"/>
            <w:r>
              <w:rPr>
                <w:sz w:val="15"/>
                <w:szCs w:val="15"/>
              </w:rPr>
              <w:t xml:space="preserve"> эквивалента дозы фотонного излучения и </w:t>
            </w:r>
            <w:proofErr w:type="spellStart"/>
            <w:r>
              <w:rPr>
                <w:sz w:val="15"/>
                <w:szCs w:val="15"/>
              </w:rPr>
              <w:t>амбиентного</w:t>
            </w:r>
            <w:proofErr w:type="spellEnd"/>
            <w:r>
              <w:rPr>
                <w:sz w:val="15"/>
                <w:szCs w:val="15"/>
              </w:rPr>
              <w:t xml:space="preserve"> эквивалента дозы фотонного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МАЭД в диапазоне 0,1 ÷ 0,5 </w:t>
            </w:r>
            <w:proofErr w:type="spellStart"/>
            <w:r>
              <w:rPr>
                <w:sz w:val="15"/>
                <w:szCs w:val="15"/>
              </w:rPr>
              <w:t>мкЗв</w:t>
            </w:r>
            <w:proofErr w:type="spellEnd"/>
            <w:r>
              <w:rPr>
                <w:sz w:val="15"/>
                <w:szCs w:val="15"/>
              </w:rPr>
              <w:t>/ч: ≤ 15 %</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Пределы допускаемой основной относительной погрешности при измерений мощности </w:t>
            </w:r>
            <w:proofErr w:type="spellStart"/>
            <w:r>
              <w:rPr>
                <w:sz w:val="15"/>
                <w:szCs w:val="15"/>
              </w:rPr>
              <w:t>амбиентного</w:t>
            </w:r>
            <w:proofErr w:type="spellEnd"/>
            <w:r>
              <w:rPr>
                <w:sz w:val="15"/>
                <w:szCs w:val="15"/>
              </w:rPr>
              <w:t xml:space="preserve"> эквивалента дозы фотонного излучения и </w:t>
            </w:r>
            <w:proofErr w:type="spellStart"/>
            <w:r>
              <w:rPr>
                <w:sz w:val="15"/>
                <w:szCs w:val="15"/>
              </w:rPr>
              <w:t>амбиентного</w:t>
            </w:r>
            <w:proofErr w:type="spellEnd"/>
            <w:r>
              <w:rPr>
                <w:sz w:val="15"/>
                <w:szCs w:val="15"/>
              </w:rPr>
              <w:t xml:space="preserve"> эквивалента дозы фотонного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МАЭД в диапазоне 0,5 </w:t>
            </w:r>
            <w:proofErr w:type="spellStart"/>
            <w:r>
              <w:rPr>
                <w:sz w:val="15"/>
                <w:szCs w:val="15"/>
              </w:rPr>
              <w:t>мкЗв</w:t>
            </w:r>
            <w:proofErr w:type="spellEnd"/>
            <w:r>
              <w:rPr>
                <w:sz w:val="15"/>
                <w:szCs w:val="15"/>
              </w:rPr>
              <w:t xml:space="preserve">/ч ÷ 50 </w:t>
            </w:r>
            <w:proofErr w:type="spellStart"/>
            <w:r>
              <w:rPr>
                <w:sz w:val="15"/>
                <w:szCs w:val="15"/>
              </w:rPr>
              <w:t>мЗв</w:t>
            </w:r>
            <w:proofErr w:type="spellEnd"/>
            <w:r>
              <w:rPr>
                <w:sz w:val="15"/>
                <w:szCs w:val="15"/>
              </w:rPr>
              <w:t>/ч: ≤ 12 %</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Степень защиты, IP</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65</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Радиационный ресурс, </w:t>
            </w:r>
            <w:r w:rsidRPr="00E3455B">
              <w:rPr>
                <w:sz w:val="15"/>
                <w:szCs w:val="15"/>
              </w:rPr>
              <w:t>Гр</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100 </w:t>
            </w:r>
            <w:r w:rsidRPr="00E3455B">
              <w:rPr>
                <w:sz w:val="15"/>
                <w:szCs w:val="15"/>
              </w:rPr>
              <w:t>Гр</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Минимальная рабочая температура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-40 [0*]С</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Максимальная рабочая температура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50 [0*]С</w:t>
            </w:r>
          </w:p>
        </w:tc>
      </w:tr>
      <w:tr w:rsidR="002F2924" w:rsidTr="00995AD4">
        <w:trPr>
          <w:cantSplit/>
        </w:trPr>
        <w:tc>
          <w:tcPr>
            <w:tcW w:w="800"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3</w:t>
            </w:r>
          </w:p>
        </w:tc>
        <w:tc>
          <w:tcPr>
            <w:tcW w:w="1162"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000062929</w:t>
            </w:r>
          </w:p>
        </w:tc>
        <w:tc>
          <w:tcPr>
            <w:tcW w:w="2038"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Дозиметр гамма-излучения индивидуальный*</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13</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proofErr w:type="spellStart"/>
            <w:r>
              <w:rPr>
                <w:sz w:val="15"/>
                <w:szCs w:val="15"/>
              </w:rPr>
              <w:t>шт</w:t>
            </w:r>
            <w:proofErr w:type="spellEnd"/>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энергий регистрируемого фотонного излучения, </w:t>
            </w:r>
            <w:r w:rsidRPr="00C52280">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0,05 </w:t>
            </w:r>
            <w:r w:rsidRPr="00C52280">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энергий регистрируемого фотонного излучения, </w:t>
            </w:r>
            <w:r w:rsidRPr="00C52280">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3 </w:t>
            </w:r>
            <w:r w:rsidRPr="00C52280">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мощности индивидуального эквивалента дозы фотонного излучения, </w:t>
            </w:r>
            <w:proofErr w:type="spellStart"/>
            <w:r w:rsidRPr="00C52280">
              <w:rPr>
                <w:sz w:val="15"/>
                <w:szCs w:val="15"/>
              </w:rPr>
              <w:t>мкЗв</w:t>
            </w:r>
            <w:proofErr w:type="spellEnd"/>
            <w:r w:rsidRPr="00C52280">
              <w:rPr>
                <w:sz w:val="15"/>
                <w:szCs w:val="15"/>
              </w:rPr>
              <w:t>/ч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w:t>
            </w:r>
            <w:r w:rsidRPr="00C52280">
              <w:rPr>
                <w:sz w:val="15"/>
                <w:szCs w:val="15"/>
              </w:rPr>
              <w:t>мкЗв/ч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мощности индивидуального эквивалента дозы фотонного излучения, </w:t>
            </w:r>
            <w:r w:rsidRPr="00C52280">
              <w:rPr>
                <w:sz w:val="15"/>
                <w:szCs w:val="15"/>
              </w:rPr>
              <w:t>Зв/ч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10 </w:t>
            </w:r>
            <w:r w:rsidRPr="00C52280">
              <w:rPr>
                <w:sz w:val="15"/>
                <w:szCs w:val="15"/>
              </w:rPr>
              <w:t>Зв/ч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индивидуального эквивалента дозы фотонного излучения, </w:t>
            </w:r>
            <w:proofErr w:type="spellStart"/>
            <w:r w:rsidRPr="00C52280">
              <w:rPr>
                <w:sz w:val="15"/>
                <w:szCs w:val="15"/>
              </w:rPr>
              <w:t>мкЗв</w:t>
            </w:r>
            <w:proofErr w:type="spellEnd"/>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0,1 </w:t>
            </w:r>
            <w:proofErr w:type="spellStart"/>
            <w:r w:rsidRPr="00C52280">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индивидуального эквивалента дозы фотонного излучения, </w:t>
            </w:r>
            <w:r w:rsidRPr="00C52280">
              <w:rPr>
                <w:sz w:val="15"/>
                <w:szCs w:val="15"/>
              </w:rPr>
              <w:t>Зв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15</w:t>
            </w:r>
            <w:r w:rsidRPr="00C52280">
              <w:rPr>
                <w:sz w:val="15"/>
                <w:szCs w:val="15"/>
              </w:rPr>
              <w:t xml:space="preserve"> Зв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Пределы допускаемой основной относительной погрешности при измерении индивидуального эквивалента дозы фотонного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(15+10/H) % где H – безразмерная величина, численно равная измеренному значению ИЭД в </w:t>
            </w:r>
            <w:proofErr w:type="spellStart"/>
            <w:r>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Пределы допускаемой основной относительной погрешности при измерений мощности индивидуального эквивалента дозы фотонного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(15+40/H) % где H – безразмерная величина, численно равная измеренному значению МИЭД в </w:t>
            </w:r>
            <w:proofErr w:type="spellStart"/>
            <w:r>
              <w:rPr>
                <w:sz w:val="15"/>
                <w:szCs w:val="15"/>
              </w:rPr>
              <w:t>мкЗв</w:t>
            </w:r>
            <w:proofErr w:type="spellEnd"/>
            <w:r>
              <w:rPr>
                <w:sz w:val="15"/>
                <w:szCs w:val="15"/>
              </w:rPr>
              <w:t>/ч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Звуковая сигнализация на расстоянии 40 см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80 ДЕЦИБЕЛ</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Максимальное время непрерывной работы прибора без заряда аккумулятора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400 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Степень защиты дозиметра, IP</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65</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Минимальная рабочая температура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-20 [0*]С</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Максимальная рабочая температура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50 [0*]С</w:t>
            </w:r>
          </w:p>
        </w:tc>
      </w:tr>
      <w:tr w:rsidR="002F2924" w:rsidTr="00995AD4">
        <w:trPr>
          <w:cantSplit/>
        </w:trPr>
        <w:tc>
          <w:tcPr>
            <w:tcW w:w="800"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4</w:t>
            </w:r>
          </w:p>
        </w:tc>
        <w:tc>
          <w:tcPr>
            <w:tcW w:w="1162"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000062930</w:t>
            </w:r>
          </w:p>
        </w:tc>
        <w:tc>
          <w:tcPr>
            <w:tcW w:w="2038"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Дозиметр гамма и нейтронного излучения индивидуальный*</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7</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proofErr w:type="spellStart"/>
            <w:r>
              <w:rPr>
                <w:sz w:val="15"/>
                <w:szCs w:val="15"/>
              </w:rPr>
              <w:t>шт</w:t>
            </w:r>
            <w:proofErr w:type="spellEnd"/>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энергий регистрируемого гамма-излучения, </w:t>
            </w:r>
            <w:r w:rsidRPr="006D0289">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0,05 </w:t>
            </w:r>
            <w:r w:rsidRPr="006D0289">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энергий регистрируемого гамма-излучения, </w:t>
            </w:r>
            <w:r w:rsidRPr="006D0289">
              <w:rPr>
                <w:sz w:val="15"/>
                <w:szCs w:val="15"/>
              </w:rPr>
              <w:t>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6 </w:t>
            </w:r>
            <w:r w:rsidRPr="006D0289">
              <w:rPr>
                <w:sz w:val="15"/>
                <w:szCs w:val="15"/>
              </w:rPr>
              <w:t>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Нижняя граница диапазона измерений энергий регистрируемого нейтронного излучения, 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0,025 </w:t>
            </w:r>
            <w:r w:rsidRPr="006D0289">
              <w:rPr>
                <w:sz w:val="15"/>
                <w:szCs w:val="15"/>
              </w:rPr>
              <w:t>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Верхняя граница диапазона измерений энергий регистрируемого нейтронного излучения, МэВ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20</w:t>
            </w:r>
            <w:r w:rsidRPr="006D0289">
              <w:rPr>
                <w:sz w:val="15"/>
                <w:szCs w:val="15"/>
              </w:rPr>
              <w:t xml:space="preserve"> МэВ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индивидуального эквивалента дозы гамма излучения (в диапазоне МИЭД гамма-излучения 1 </w:t>
            </w:r>
            <w:proofErr w:type="spellStart"/>
            <w:r>
              <w:rPr>
                <w:sz w:val="15"/>
                <w:szCs w:val="15"/>
              </w:rPr>
              <w:t>мкЗв</w:t>
            </w:r>
            <w:proofErr w:type="spellEnd"/>
            <w:r>
              <w:rPr>
                <w:sz w:val="15"/>
                <w:szCs w:val="15"/>
              </w:rPr>
              <w:t xml:space="preserve">/ч ÷ 10 Зв/ч), </w:t>
            </w:r>
            <w:proofErr w:type="spellStart"/>
            <w:r w:rsidRPr="006D0289">
              <w:rPr>
                <w:sz w:val="15"/>
                <w:szCs w:val="15"/>
              </w:rPr>
              <w:t>мкЗв</w:t>
            </w:r>
            <w:proofErr w:type="spellEnd"/>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 </w:t>
            </w:r>
            <w:proofErr w:type="spellStart"/>
            <w:r w:rsidRPr="006D0289">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индивидуального эквивалента дозы гамма излучения (в диапазоне МИЭД гамма-излучения 1 </w:t>
            </w:r>
            <w:proofErr w:type="spellStart"/>
            <w:r>
              <w:rPr>
                <w:sz w:val="15"/>
                <w:szCs w:val="15"/>
              </w:rPr>
              <w:t>мкЗв</w:t>
            </w:r>
            <w:proofErr w:type="spellEnd"/>
            <w:r>
              <w:rPr>
                <w:sz w:val="15"/>
                <w:szCs w:val="15"/>
              </w:rPr>
              <w:t xml:space="preserve">/ч ÷ 10 Зв/ч), </w:t>
            </w:r>
            <w:r w:rsidRPr="006D0289">
              <w:rPr>
                <w:sz w:val="15"/>
                <w:szCs w:val="15"/>
              </w:rPr>
              <w:t>Зв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15 </w:t>
            </w:r>
            <w:r w:rsidRPr="006D0289">
              <w:rPr>
                <w:sz w:val="15"/>
                <w:szCs w:val="15"/>
              </w:rPr>
              <w:t>Зв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Нижняя граница диапазона измерений индивидуального эквивалента дозы нейтронного излучения (в диапазоне МИЭД нейтронного излучения 1 </w:t>
            </w:r>
            <w:proofErr w:type="spellStart"/>
            <w:r>
              <w:rPr>
                <w:sz w:val="15"/>
                <w:szCs w:val="15"/>
              </w:rPr>
              <w:t>мкЗв</w:t>
            </w:r>
            <w:proofErr w:type="spellEnd"/>
            <w:r>
              <w:rPr>
                <w:sz w:val="15"/>
                <w:szCs w:val="15"/>
              </w:rPr>
              <w:t xml:space="preserve">/ч ÷ 2 Зв/ч), </w:t>
            </w:r>
            <w:proofErr w:type="spellStart"/>
            <w:r w:rsidRPr="006D0289">
              <w:rPr>
                <w:sz w:val="15"/>
                <w:szCs w:val="15"/>
              </w:rPr>
              <w:t>мкЗв</w:t>
            </w:r>
            <w:proofErr w:type="spellEnd"/>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20 </w:t>
            </w:r>
            <w:proofErr w:type="spellStart"/>
            <w:r w:rsidRPr="006D0289">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Верхняя граница диапазона измерений индивидуального эквивалента дозы нейтронного излучения (в диапазоне МИЭД нейтронного излучения 1 </w:t>
            </w:r>
            <w:proofErr w:type="spellStart"/>
            <w:r>
              <w:rPr>
                <w:sz w:val="15"/>
                <w:szCs w:val="15"/>
              </w:rPr>
              <w:t>мкЗв</w:t>
            </w:r>
            <w:proofErr w:type="spellEnd"/>
            <w:r>
              <w:rPr>
                <w:sz w:val="15"/>
                <w:szCs w:val="15"/>
              </w:rPr>
              <w:t xml:space="preserve">/ч ÷ 2 Зв/ч), </w:t>
            </w:r>
            <w:r w:rsidRPr="006D0289">
              <w:rPr>
                <w:sz w:val="15"/>
                <w:szCs w:val="15"/>
              </w:rPr>
              <w:t>Зв</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15 </w:t>
            </w:r>
            <w:r w:rsidRPr="006D0289">
              <w:rPr>
                <w:sz w:val="15"/>
                <w:szCs w:val="15"/>
              </w:rPr>
              <w:t>Зв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Пределы допускаемой основной относительной погрешности при измерении индивидуального эквивалента дозы гамма-излучения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(15+20/H) % где H – безразмерная величина, численно равная измеренному значению ИЭД гамма-излучения в </w:t>
            </w:r>
            <w:proofErr w:type="spellStart"/>
            <w:r>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Пределы допускаемой основной относительной погрешности при измерении индивидуального эквивалента дозы нейтронного излучения.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(15+700/H) % где H – безразмерная величина, численно равная измеренному значению ИЭД фотонного излучения в </w:t>
            </w:r>
            <w:proofErr w:type="spellStart"/>
            <w:r>
              <w:rPr>
                <w:sz w:val="15"/>
                <w:szCs w:val="15"/>
              </w:rPr>
              <w:t>мкЗв</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Звуковая сигнализация на расстоянии 40 см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80 ДЕЦИБЕЛ</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Максимальное время непрерывной работы прибора без подзарядки аккумулятора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200 ч</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Степень защиты дозиметра, IP</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65</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Минимальная рабочая температура дозиметра-радиометра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-20 [0*]С</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Максимальная рабочая температура дозиметра-радиометра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50 [0*]С</w:t>
            </w:r>
          </w:p>
        </w:tc>
      </w:tr>
      <w:tr w:rsidR="002F2924" w:rsidTr="00995AD4">
        <w:trPr>
          <w:cantSplit/>
        </w:trPr>
        <w:tc>
          <w:tcPr>
            <w:tcW w:w="800"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5</w:t>
            </w:r>
          </w:p>
        </w:tc>
        <w:tc>
          <w:tcPr>
            <w:tcW w:w="1162"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000062938</w:t>
            </w:r>
          </w:p>
        </w:tc>
        <w:tc>
          <w:tcPr>
            <w:tcW w:w="2038"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Устройство считывания</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1</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proofErr w:type="spellStart"/>
            <w:r>
              <w:rPr>
                <w:sz w:val="15"/>
                <w:szCs w:val="15"/>
              </w:rPr>
              <w:t>шт</w:t>
            </w:r>
            <w:proofErr w:type="spellEnd"/>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Назначение</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обмен данными между ПЭВМ и индивидуальными дозиметрами. Обеспечивает установку параметров дозиметров, считывание архива, а также установку интервала времени записи в архив истории накопления индивидуального эквивалента дозы с удаленной ПЭВМ</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Среда передачи данных между устройством считывания и дозиметрами</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инфракрасное излучение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Скорость передачи данных </w:t>
            </w:r>
            <w:r w:rsidRPr="0018545E">
              <w:rPr>
                <w:sz w:val="15"/>
                <w:szCs w:val="15"/>
              </w:rPr>
              <w:t>между устройством считывания и дозиметрами</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57,6 кбит/с</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Среда передачи данных между устройством считывания и ПЭВМ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интерфейс связи RS-232</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 xml:space="preserve">Скорость передачи данных </w:t>
            </w:r>
            <w:r w:rsidRPr="0018545E">
              <w:rPr>
                <w:sz w:val="15"/>
                <w:szCs w:val="15"/>
              </w:rPr>
              <w:t>между устройством считывания и ПЭВМ</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57,6 кбит/с</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Электропитание осуществляется через сетевой адаптер 220 В, 50 Гц</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соответствие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Минимальная рабочая температура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0,1 [0*]С</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pPr>
              <w:jc w:val="center"/>
            </w:pPr>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Максимальная рабочая температура</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40 [0*]С</w:t>
            </w:r>
          </w:p>
        </w:tc>
      </w:tr>
      <w:tr w:rsidR="002F2924" w:rsidTr="00995AD4">
        <w:trPr>
          <w:cantSplit/>
        </w:trPr>
        <w:tc>
          <w:tcPr>
            <w:tcW w:w="800"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6</w:t>
            </w:r>
          </w:p>
        </w:tc>
        <w:tc>
          <w:tcPr>
            <w:tcW w:w="1162"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000062932</w:t>
            </w:r>
          </w:p>
        </w:tc>
        <w:tc>
          <w:tcPr>
            <w:tcW w:w="2038"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Кассетное зарядное устройство</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r>
              <w:rPr>
                <w:sz w:val="15"/>
                <w:szCs w:val="15"/>
              </w:rPr>
              <w:t>1</w:t>
            </w:r>
          </w:p>
        </w:tc>
        <w:tc>
          <w:tcPr>
            <w:tcW w:w="814" w:type="dxa"/>
            <w:vMerge w:val="restart"/>
            <w:tcBorders>
              <w:top w:val="single" w:sz="5" w:space="0" w:color="auto"/>
              <w:left w:val="single" w:sz="5" w:space="0" w:color="auto"/>
              <w:bottom w:val="single" w:sz="5" w:space="0" w:color="auto"/>
              <w:right w:val="single" w:sz="5" w:space="0" w:color="auto"/>
            </w:tcBorders>
            <w:shd w:val="clear" w:color="auto" w:fill="auto"/>
          </w:tcPr>
          <w:p w:rsidR="002F2924" w:rsidRDefault="002F2924" w:rsidP="00995AD4">
            <w:pPr>
              <w:jc w:val="center"/>
            </w:pPr>
            <w:proofErr w:type="spellStart"/>
            <w:r>
              <w:rPr>
                <w:sz w:val="15"/>
                <w:szCs w:val="15"/>
              </w:rPr>
              <w:t>шт</w:t>
            </w:r>
            <w:proofErr w:type="spellEnd"/>
          </w:p>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Назначение</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кассетное зарядное устройство предназначено для зарядки аккумуляторов индивидуальных дозиметров и представляет собой прибор для одновременной зарядки нескольких дозиметров</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Количество зарядных ячеек в зарядном устройстве</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 xml:space="preserve">≥ 28 </w:t>
            </w:r>
            <w:proofErr w:type="spellStart"/>
            <w:r>
              <w:rPr>
                <w:sz w:val="15"/>
                <w:szCs w:val="15"/>
              </w:rPr>
              <w:t>шт</w:t>
            </w:r>
            <w:proofErr w:type="spellEnd"/>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Кассетное зарядное устройство содержит блок питания, преобразующий 220 В переменного тока в постоянный ток и контактные колодки, параллельно подключенные к выходу блока питания</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соответствие</w:t>
            </w:r>
          </w:p>
        </w:tc>
      </w:tr>
      <w:tr w:rsidR="002F2924" w:rsidTr="00995AD4">
        <w:trPr>
          <w:cantSplit/>
        </w:trPr>
        <w:tc>
          <w:tcPr>
            <w:tcW w:w="800"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1162"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2038"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814" w:type="dxa"/>
            <w:vMerge/>
            <w:tcBorders>
              <w:top w:val="single" w:sz="5" w:space="0" w:color="auto"/>
              <w:left w:val="single" w:sz="5" w:space="0" w:color="auto"/>
              <w:bottom w:val="single" w:sz="5" w:space="0" w:color="auto"/>
              <w:right w:val="single" w:sz="5" w:space="0" w:color="auto"/>
            </w:tcBorders>
            <w:shd w:val="clear" w:color="auto" w:fill="auto"/>
            <w:vAlign w:val="bottom"/>
          </w:tcPr>
          <w:p w:rsidR="002F2924" w:rsidRDefault="002F2924" w:rsidP="00995AD4"/>
        </w:tc>
        <w:tc>
          <w:tcPr>
            <w:tcW w:w="4363" w:type="dxa"/>
            <w:tcBorders>
              <w:top w:val="single" w:sz="5" w:space="0" w:color="auto"/>
              <w:left w:val="single" w:sz="5" w:space="0" w:color="auto"/>
              <w:bottom w:val="single" w:sz="5" w:space="0" w:color="auto"/>
              <w:right w:val="single" w:sz="4" w:space="0" w:color="auto"/>
            </w:tcBorders>
            <w:shd w:val="clear" w:color="auto" w:fill="auto"/>
            <w:vAlign w:val="center"/>
          </w:tcPr>
          <w:p w:rsidR="002F2924" w:rsidRDefault="002F2924" w:rsidP="00995AD4">
            <w:r>
              <w:rPr>
                <w:sz w:val="15"/>
                <w:szCs w:val="15"/>
              </w:rPr>
              <w:t>Обеспечивает зарядку аккумуляторов дозиметров в течение не более 6 ч</w:t>
            </w:r>
          </w:p>
        </w:tc>
        <w:tc>
          <w:tcPr>
            <w:tcW w:w="4258" w:type="dxa"/>
            <w:tcBorders>
              <w:top w:val="single" w:sz="5" w:space="0" w:color="auto"/>
              <w:left w:val="single" w:sz="4" w:space="0" w:color="auto"/>
              <w:bottom w:val="single" w:sz="5" w:space="0" w:color="auto"/>
              <w:right w:val="single" w:sz="5" w:space="0" w:color="auto"/>
            </w:tcBorders>
            <w:shd w:val="clear" w:color="auto" w:fill="auto"/>
            <w:vAlign w:val="center"/>
          </w:tcPr>
          <w:p w:rsidR="002F2924" w:rsidRDefault="002F2924" w:rsidP="00995AD4">
            <w:r>
              <w:rPr>
                <w:sz w:val="15"/>
                <w:szCs w:val="15"/>
              </w:rPr>
              <w:t>соответствие</w:t>
            </w:r>
          </w:p>
        </w:tc>
      </w:tr>
    </w:tbl>
    <w:p w:rsidR="002F2924" w:rsidRDefault="002F2924" w:rsidP="004F4D93">
      <w:pPr>
        <w:widowControl w:val="0"/>
        <w:tabs>
          <w:tab w:val="right" w:leader="dot" w:pos="9344"/>
        </w:tabs>
        <w:spacing w:after="0" w:line="240" w:lineRule="auto"/>
        <w:jc w:val="center"/>
        <w:rPr>
          <w:rFonts w:ascii="Times New Roman" w:hAnsi="Times New Roman"/>
          <w:b/>
          <w:sz w:val="26"/>
          <w:szCs w:val="26"/>
        </w:rPr>
      </w:pPr>
    </w:p>
    <w:p w:rsidR="001B3585" w:rsidRDefault="001B3585" w:rsidP="004F4D93">
      <w:pPr>
        <w:widowControl w:val="0"/>
        <w:tabs>
          <w:tab w:val="right" w:leader="dot" w:pos="9344"/>
        </w:tabs>
        <w:spacing w:after="0" w:line="240" w:lineRule="auto"/>
        <w:jc w:val="center"/>
        <w:rPr>
          <w:rFonts w:ascii="Times New Roman" w:hAnsi="Times New Roman"/>
          <w:b/>
          <w:sz w:val="26"/>
          <w:szCs w:val="26"/>
        </w:rPr>
      </w:pPr>
    </w:p>
    <w:p w:rsidR="001B3585" w:rsidRDefault="001B3585" w:rsidP="001B3585">
      <w:bookmarkStart w:id="0" w:name="_GoBack"/>
      <w:bookmarkEnd w:id="0"/>
    </w:p>
    <w:p w:rsidR="001B3585" w:rsidRPr="00673565" w:rsidRDefault="001B3585" w:rsidP="001B3585">
      <w:pPr>
        <w:spacing w:after="0"/>
        <w:rPr>
          <w:rFonts w:ascii="Arial" w:hAnsi="Arial"/>
          <w:sz w:val="15"/>
          <w:szCs w:val="15"/>
        </w:rPr>
      </w:pPr>
      <w:r w:rsidRPr="00673565">
        <w:rPr>
          <w:rFonts w:ascii="Arial" w:hAnsi="Arial"/>
          <w:sz w:val="15"/>
          <w:szCs w:val="15"/>
        </w:rPr>
        <w:t>* Сопроводительные документы должны содержать:</w:t>
      </w:r>
    </w:p>
    <w:p w:rsidR="001B3585" w:rsidRPr="00673565" w:rsidRDefault="001B3585" w:rsidP="001B3585">
      <w:pPr>
        <w:spacing w:after="0"/>
        <w:rPr>
          <w:rFonts w:ascii="Arial" w:hAnsi="Arial"/>
          <w:sz w:val="15"/>
          <w:szCs w:val="15"/>
        </w:rPr>
      </w:pPr>
      <w:r w:rsidRPr="00673565">
        <w:rPr>
          <w:rFonts w:ascii="Arial" w:hAnsi="Arial"/>
          <w:sz w:val="15"/>
          <w:szCs w:val="15"/>
        </w:rPr>
        <w:t xml:space="preserve">- свидетельство о поверке средства измерений или отметка о первичной поверке в руководстве по эксплуатации/паспорте, выданное не ранее чем за 3 месяца до даты поставки; </w:t>
      </w:r>
    </w:p>
    <w:p w:rsidR="001B3585" w:rsidRPr="00673565" w:rsidRDefault="001B3585" w:rsidP="001B3585">
      <w:pPr>
        <w:spacing w:after="0"/>
        <w:rPr>
          <w:rFonts w:ascii="Arial" w:hAnsi="Arial"/>
          <w:sz w:val="15"/>
          <w:szCs w:val="15"/>
        </w:rPr>
      </w:pPr>
      <w:r w:rsidRPr="00673565">
        <w:rPr>
          <w:rFonts w:ascii="Arial" w:hAnsi="Arial"/>
          <w:sz w:val="15"/>
          <w:szCs w:val="15"/>
        </w:rPr>
        <w:t xml:space="preserve">- методику поверки, оформленную в соответствии с пунктом 23 приложения № 3 приказа </w:t>
      </w:r>
      <w:proofErr w:type="spellStart"/>
      <w:r w:rsidRPr="00673565">
        <w:rPr>
          <w:rFonts w:ascii="Arial" w:hAnsi="Arial"/>
          <w:sz w:val="15"/>
          <w:szCs w:val="15"/>
        </w:rPr>
        <w:t>Минпромторга</w:t>
      </w:r>
      <w:proofErr w:type="spellEnd"/>
      <w:r w:rsidRPr="00673565">
        <w:rPr>
          <w:rFonts w:ascii="Arial" w:hAnsi="Arial"/>
          <w:sz w:val="15"/>
          <w:szCs w:val="15"/>
        </w:rPr>
        <w:t xml:space="preserve"> России от 28.08.2020 № 2907</w:t>
      </w:r>
    </w:p>
    <w:p w:rsidR="001B3585" w:rsidRDefault="001B3585" w:rsidP="004F4D93">
      <w:pPr>
        <w:widowControl w:val="0"/>
        <w:tabs>
          <w:tab w:val="right" w:leader="dot" w:pos="9344"/>
        </w:tabs>
        <w:spacing w:after="0" w:line="240" w:lineRule="auto"/>
        <w:jc w:val="center"/>
        <w:rPr>
          <w:rFonts w:ascii="Times New Roman" w:hAnsi="Times New Roman"/>
          <w:b/>
          <w:sz w:val="26"/>
          <w:szCs w:val="26"/>
        </w:rPr>
      </w:pPr>
    </w:p>
    <w:p w:rsidR="00FB6DC9" w:rsidRDefault="00FB6DC9" w:rsidP="004F4D93">
      <w:pPr>
        <w:widowControl w:val="0"/>
        <w:tabs>
          <w:tab w:val="right" w:leader="dot" w:pos="9344"/>
        </w:tabs>
        <w:spacing w:after="0" w:line="240" w:lineRule="auto"/>
        <w:jc w:val="center"/>
        <w:rPr>
          <w:rFonts w:ascii="Times New Roman" w:hAnsi="Times New Roman"/>
          <w:b/>
          <w:sz w:val="26"/>
          <w:szCs w:val="26"/>
        </w:rPr>
      </w:pPr>
    </w:p>
    <w:p w:rsidR="00FB6DC9" w:rsidRDefault="00FB6DC9" w:rsidP="004F4D93">
      <w:pPr>
        <w:widowControl w:val="0"/>
        <w:tabs>
          <w:tab w:val="right" w:leader="dot" w:pos="9344"/>
        </w:tabs>
        <w:spacing w:after="0" w:line="240" w:lineRule="auto"/>
        <w:jc w:val="center"/>
        <w:rPr>
          <w:rFonts w:ascii="Times New Roman" w:hAnsi="Times New Roman"/>
          <w:b/>
          <w:sz w:val="26"/>
          <w:szCs w:val="26"/>
        </w:rPr>
      </w:pPr>
    </w:p>
    <w:p w:rsidR="00217706" w:rsidRDefault="00217706" w:rsidP="004F4D93">
      <w:pPr>
        <w:widowControl w:val="0"/>
        <w:tabs>
          <w:tab w:val="right" w:leader="dot" w:pos="9344"/>
        </w:tabs>
        <w:spacing w:after="0" w:line="240" w:lineRule="auto"/>
        <w:jc w:val="center"/>
        <w:rPr>
          <w:rFonts w:ascii="Times New Roman" w:hAnsi="Times New Roman"/>
          <w:b/>
          <w:sz w:val="26"/>
          <w:szCs w:val="26"/>
        </w:rPr>
      </w:pPr>
    </w:p>
    <w:p w:rsidR="00C76C91" w:rsidRDefault="00C76C91" w:rsidP="004F4D93">
      <w:pPr>
        <w:widowControl w:val="0"/>
        <w:tabs>
          <w:tab w:val="right" w:leader="dot" w:pos="9344"/>
        </w:tabs>
        <w:spacing w:after="0" w:line="240" w:lineRule="auto"/>
        <w:jc w:val="center"/>
        <w:rPr>
          <w:rFonts w:ascii="Times New Roman" w:hAnsi="Times New Roman"/>
          <w:b/>
          <w:sz w:val="26"/>
          <w:szCs w:val="26"/>
        </w:rPr>
      </w:pPr>
    </w:p>
    <w:p w:rsidR="00217706" w:rsidRDefault="00217706" w:rsidP="004F4D93">
      <w:pPr>
        <w:widowControl w:val="0"/>
        <w:tabs>
          <w:tab w:val="right" w:leader="dot" w:pos="9344"/>
        </w:tabs>
        <w:spacing w:after="0" w:line="240" w:lineRule="auto"/>
        <w:jc w:val="center"/>
        <w:rPr>
          <w:rFonts w:ascii="Times New Roman" w:hAnsi="Times New Roman"/>
          <w:b/>
          <w:sz w:val="26"/>
          <w:szCs w:val="26"/>
        </w:rPr>
      </w:pPr>
    </w:p>
    <w:p w:rsidR="000C4BB8" w:rsidRDefault="000C4BB8" w:rsidP="004F4D93">
      <w:pPr>
        <w:widowControl w:val="0"/>
        <w:tabs>
          <w:tab w:val="right" w:leader="dot" w:pos="9344"/>
        </w:tabs>
        <w:spacing w:after="0" w:line="240" w:lineRule="auto"/>
        <w:jc w:val="center"/>
        <w:rPr>
          <w:rFonts w:ascii="Times New Roman" w:hAnsi="Times New Roman"/>
          <w:b/>
          <w:sz w:val="26"/>
          <w:szCs w:val="26"/>
        </w:rPr>
      </w:pPr>
    </w:p>
    <w:p w:rsidR="00070BE8" w:rsidRDefault="00070BE8" w:rsidP="004F4D93">
      <w:pPr>
        <w:widowControl w:val="0"/>
        <w:tabs>
          <w:tab w:val="right" w:leader="dot" w:pos="9344"/>
        </w:tabs>
        <w:spacing w:after="0" w:line="240" w:lineRule="auto"/>
        <w:jc w:val="center"/>
        <w:rPr>
          <w:rFonts w:ascii="Times New Roman" w:hAnsi="Times New Roman"/>
          <w:b/>
          <w:sz w:val="26"/>
          <w:szCs w:val="26"/>
        </w:rPr>
      </w:pPr>
    </w:p>
    <w:p w:rsidR="00070BE8" w:rsidRDefault="00070BE8" w:rsidP="004F4D93">
      <w:pPr>
        <w:widowControl w:val="0"/>
        <w:tabs>
          <w:tab w:val="right" w:leader="dot" w:pos="9344"/>
        </w:tabs>
        <w:spacing w:after="0" w:line="240" w:lineRule="auto"/>
        <w:jc w:val="center"/>
        <w:rPr>
          <w:rFonts w:ascii="Times New Roman" w:hAnsi="Times New Roman"/>
          <w:b/>
          <w:sz w:val="26"/>
          <w:szCs w:val="26"/>
        </w:rPr>
      </w:pPr>
    </w:p>
    <w:p w:rsidR="0084365D" w:rsidRDefault="0084365D" w:rsidP="004F4D93">
      <w:pPr>
        <w:widowControl w:val="0"/>
        <w:tabs>
          <w:tab w:val="right" w:leader="dot" w:pos="9344"/>
        </w:tabs>
        <w:spacing w:after="0" w:line="240" w:lineRule="auto"/>
        <w:jc w:val="center"/>
        <w:rPr>
          <w:rFonts w:ascii="Times New Roman" w:hAnsi="Times New Roman"/>
          <w:b/>
          <w:sz w:val="26"/>
          <w:szCs w:val="26"/>
        </w:rPr>
      </w:pPr>
    </w:p>
    <w:p w:rsidR="004F4D93" w:rsidRDefault="004F4D93" w:rsidP="004F4D93">
      <w:pPr>
        <w:widowControl w:val="0"/>
        <w:tabs>
          <w:tab w:val="right" w:leader="dot" w:pos="9344"/>
        </w:tabs>
        <w:spacing w:after="0" w:line="240" w:lineRule="auto"/>
        <w:jc w:val="center"/>
        <w:rPr>
          <w:rFonts w:ascii="Times New Roman" w:hAnsi="Times New Roman"/>
          <w:b/>
          <w:sz w:val="26"/>
          <w:szCs w:val="26"/>
        </w:rPr>
      </w:pPr>
    </w:p>
    <w:p w:rsidR="006F4A76" w:rsidRDefault="006F4A76"/>
    <w:p w:rsidR="00C51609" w:rsidRPr="00C51609" w:rsidRDefault="002F2924"/>
    <w:p w:rsidR="00C51609" w:rsidRPr="00C51609" w:rsidRDefault="002F2924"/>
    <w:p w:rsidR="00C51609" w:rsidRPr="00C51609" w:rsidRDefault="001B3585">
      <w:r>
        <w:rPr>
          <w:noProof/>
          <w:lang w:eastAsia="ru-RU"/>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1980000" cy="900000"/>
            <wp:effectExtent l="19050" t="0" r="0" b="0"/>
            <wp:wrapNone/>
            <wp:docPr id="99001" name="Рисунок 9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0" name="Picture 99000"/>
                    <pic:cNvPicPr>
                      <a:picLocks noChangeAspect="1" noChangeArrowheads="1"/>
                    </pic:cNvPicPr>
                  </pic:nvPicPr>
                  <pic:blipFill>
                    <a:blip r:embed="rId6"/>
                    <a:srcRect/>
                    <a:stretch>
                      <a:fillRect/>
                    </a:stretch>
                  </pic:blipFill>
                  <pic:spPr bwMode="auto">
                    <a:xfrm>
                      <a:off x="0" y="0"/>
                      <a:ext cx="1980000" cy="900000"/>
                    </a:xfrm>
                    <a:prstGeom prst="rect">
                      <a:avLst/>
                    </a:prstGeom>
                    <a:noFill/>
                    <a:ln w="9525">
                      <a:noFill/>
                      <a:miter lim="800000"/>
                      <a:headEnd/>
                      <a:tailEnd/>
                    </a:ln>
                  </pic:spPr>
                </pic:pic>
              </a:graphicData>
            </a:graphic>
          </wp:anchor>
        </w:drawing>
      </w:r>
    </w:p>
    <w:sectPr w:rsidR="00C51609" w:rsidRPr="00C51609" w:rsidSect="004F4D9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7" w:rsidRDefault="00757887" w:rsidP="004F4D93">
      <w:pPr>
        <w:spacing w:after="0" w:line="240" w:lineRule="auto"/>
      </w:pPr>
      <w:r>
        <w:separator/>
      </w:r>
    </w:p>
  </w:endnote>
  <w:endnote w:type="continuationSeparator" w:id="0">
    <w:p w:rsidR="00757887" w:rsidRDefault="00757887" w:rsidP="004F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7" w:rsidRDefault="00757887" w:rsidP="004F4D93">
      <w:pPr>
        <w:spacing w:after="0" w:line="240" w:lineRule="auto"/>
      </w:pPr>
      <w:r>
        <w:separator/>
      </w:r>
    </w:p>
  </w:footnote>
  <w:footnote w:type="continuationSeparator" w:id="0">
    <w:p w:rsidR="00757887" w:rsidRDefault="00757887" w:rsidP="004F4D93">
      <w:pPr>
        <w:spacing w:after="0" w:line="240" w:lineRule="auto"/>
      </w:pPr>
      <w:r>
        <w:continuationSeparator/>
      </w:r>
    </w:p>
  </w:footnote>
  <w:footnote w:id="1">
    <w:p w:rsidR="004F4D93" w:rsidRPr="00BB32C7" w:rsidRDefault="004F4D93" w:rsidP="004F4D93">
      <w:pPr>
        <w:pStyle w:val="a6"/>
        <w:jc w:val="both"/>
        <w:rPr>
          <w:rFonts w:ascii="Times New Roman" w:hAnsi="Times New Roman"/>
          <w:i/>
        </w:rPr>
      </w:pPr>
      <w:r>
        <w:rPr>
          <w:rStyle w:val="a8"/>
        </w:rPr>
        <w:footnoteRef/>
      </w:r>
      <w:r>
        <w:t xml:space="preserve"> </w:t>
      </w:r>
      <w:r w:rsidRPr="00BB32C7">
        <w:rPr>
          <w:rFonts w:ascii="Times New Roman" w:hAnsi="Times New Roman"/>
          <w:i/>
        </w:rPr>
        <w:t>устанавливают</w:t>
      </w:r>
      <w:r>
        <w:rPr>
          <w:rFonts w:ascii="Times New Roman" w:hAnsi="Times New Roman"/>
          <w:i/>
        </w:rPr>
        <w:t>ся заказчиком при необходимости</w:t>
      </w:r>
    </w:p>
  </w:footnote>
  <w:footnote w:id="2">
    <w:p w:rsidR="004F4D93" w:rsidRDefault="004F4D93" w:rsidP="004F4D93">
      <w:pPr>
        <w:pStyle w:val="a6"/>
      </w:pPr>
      <w:r>
        <w:rPr>
          <w:rStyle w:val="a8"/>
        </w:rPr>
        <w:footnoteRef/>
      </w:r>
      <w:r>
        <w:t xml:space="preserve"> </w:t>
      </w:r>
      <w:r w:rsidRPr="00BB32C7">
        <w:rPr>
          <w:rFonts w:ascii="Times New Roman" w:hAnsi="Times New Roman"/>
          <w:i/>
        </w:rPr>
        <w:t>в случае определения поставщика машин и оборудования</w:t>
      </w:r>
    </w:p>
  </w:footnote>
  <w:footnote w:id="3">
    <w:p w:rsidR="004F4D93" w:rsidRDefault="004F4D93" w:rsidP="004F4D93">
      <w:pPr>
        <w:pStyle w:val="a6"/>
      </w:pPr>
      <w:r>
        <w:rPr>
          <w:rStyle w:val="a8"/>
        </w:rPr>
        <w:footnoteRef/>
      </w:r>
      <w:r>
        <w:t xml:space="preserve"> </w:t>
      </w:r>
      <w:r w:rsidRPr="00FA715F">
        <w:rPr>
          <w:rFonts w:ascii="Times New Roman" w:hAnsi="Times New Roman"/>
          <w:i/>
        </w:rPr>
        <w:t>в случае определения поставщика новых машин и оборудования</w:t>
      </w:r>
    </w:p>
  </w:footnote>
  <w:footnote w:id="4">
    <w:p w:rsidR="004F4D93" w:rsidRPr="00A70BD0" w:rsidRDefault="004F4D93" w:rsidP="004F4D93">
      <w:pPr>
        <w:pStyle w:val="a6"/>
        <w:jc w:val="both"/>
        <w:rPr>
          <w:rFonts w:ascii="Times New Roman" w:hAnsi="Times New Roman"/>
          <w:i/>
        </w:rPr>
      </w:pPr>
      <w:r w:rsidRPr="00A70BD0">
        <w:rPr>
          <w:rStyle w:val="a8"/>
          <w:rFonts w:ascii="Times New Roman" w:hAnsi="Times New Roman"/>
          <w:i/>
        </w:rPr>
        <w:footnoteRef/>
      </w:r>
      <w:r w:rsidRPr="00A70BD0">
        <w:rPr>
          <w:rFonts w:ascii="Times New Roman" w:hAnsi="Times New Roman"/>
          <w:i/>
        </w:rPr>
        <w:t xml:space="preserve"> </w:t>
      </w:r>
      <w:r>
        <w:rPr>
          <w:rFonts w:ascii="Times New Roman" w:hAnsi="Times New Roman"/>
          <w:i/>
        </w:rPr>
        <w:t>у</w:t>
      </w:r>
      <w:r w:rsidRPr="00A70BD0">
        <w:rPr>
          <w:rFonts w:ascii="Times New Roman" w:hAnsi="Times New Roman"/>
          <w:i/>
        </w:rPr>
        <w:t>казывается, если в описании содержится требование о соответствии поставляемого товара образцу или макету товара, на поставку которого заключается контракт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93"/>
    <w:rsid w:val="00070BE8"/>
    <w:rsid w:val="000C4BB8"/>
    <w:rsid w:val="000E62CA"/>
    <w:rsid w:val="001B3585"/>
    <w:rsid w:val="00200999"/>
    <w:rsid w:val="00217706"/>
    <w:rsid w:val="002E3617"/>
    <w:rsid w:val="002F2924"/>
    <w:rsid w:val="004F4D93"/>
    <w:rsid w:val="005657AD"/>
    <w:rsid w:val="00694BCD"/>
    <w:rsid w:val="006F4A76"/>
    <w:rsid w:val="00757887"/>
    <w:rsid w:val="007761BA"/>
    <w:rsid w:val="0084365D"/>
    <w:rsid w:val="00992C1D"/>
    <w:rsid w:val="009D0CA9"/>
    <w:rsid w:val="00C76C91"/>
    <w:rsid w:val="00DE146B"/>
    <w:rsid w:val="00FB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7426A-6CFE-4A86-9EAA-4A7ACD8B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D9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Абзац списка1,Абзац списка литеральный,it_List1,Bullet List,FooterText,numbered,Paragraphe de liste1,lp1,Bullet 1,Use Case List Paragraph,Абзац основного текста,Bullet Number,Индексы,Num Bullet 1,Таблицы,LSTBUL"/>
    <w:basedOn w:val="a"/>
    <w:link w:val="a4"/>
    <w:uiPriority w:val="34"/>
    <w:qFormat/>
    <w:rsid w:val="004F4D93"/>
    <w:pPr>
      <w:ind w:left="720"/>
      <w:contextualSpacing/>
    </w:pPr>
  </w:style>
  <w:style w:type="table" w:styleId="a5">
    <w:name w:val="Table Grid"/>
    <w:basedOn w:val="a1"/>
    <w:uiPriority w:val="99"/>
    <w:rsid w:val="004F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qFormat/>
    <w:rsid w:val="004F4D93"/>
    <w:pPr>
      <w:spacing w:after="0" w:line="240" w:lineRule="auto"/>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qFormat/>
    <w:rsid w:val="004F4D93"/>
    <w:rPr>
      <w:rFonts w:ascii="Calibri" w:eastAsia="Calibri" w:hAnsi="Calibri" w:cs="Times New Roman"/>
      <w:sz w:val="20"/>
      <w:szCs w:val="20"/>
    </w:rPr>
  </w:style>
  <w:style w:type="character" w:styleId="a8">
    <w:name w:val="footnote reference"/>
    <w:aliases w:val="fr,Used by Word for Help footnote symbols"/>
    <w:basedOn w:val="a0"/>
    <w:uiPriority w:val="99"/>
    <w:unhideWhenUsed/>
    <w:rsid w:val="004F4D93"/>
    <w:rPr>
      <w:vertAlign w:val="superscript"/>
    </w:rPr>
  </w:style>
  <w:style w:type="character" w:customStyle="1" w:styleId="a4">
    <w:name w:val="Абзац списка Знак"/>
    <w:aliases w:val="1 Знак,UL Знак,Абзац маркированнный Знак,Абзац списка1 Знак,Абзац списка литеральный Знак,it_List1 Знак,Bullet List Знак,FooterText Знак,numbered Знак,Paragraphe de liste1 Знак,lp1 Знак,Bullet 1 Знак,Use Case List Paragraph Знак"/>
    <w:link w:val="a3"/>
    <w:uiPriority w:val="34"/>
    <w:rsid w:val="004F4D93"/>
    <w:rPr>
      <w:rFonts w:ascii="Calibri" w:eastAsia="Calibri" w:hAnsi="Calibri" w:cs="Times New Roman"/>
    </w:rPr>
  </w:style>
  <w:style w:type="table" w:customStyle="1" w:styleId="TableStyle0">
    <w:name w:val="TableStyle0"/>
    <w:rsid w:val="004F4D93"/>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2125</Words>
  <Characters>12119</Characters>
  <Application>Microsoft Office Word</Application>
  <DocSecurity>4</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NRCKI</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Рымкевич Татьяна Юрьевна</dc:creator>
  <cp:lastModifiedBy>Рымкевич Татьяна Юрьевна</cp:lastModifiedBy>
  <cp:revision>2</cp:revision>
  <dcterms:created xsi:type="dcterms:W3CDTF">2025-04-08T14:25:00Z</dcterms:created>
  <dcterms:modified xsi:type="dcterms:W3CDTF">2025-04-08T14:25:00Z</dcterms:modified>
</cp:coreProperties>
</file>