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17"/>
        <w:ind w:left="-48" w:right="-1592" w:hanging="0"/>
        <w:rPr/>
      </w:pPr>
      <w:r>
        <w:rPr/>
        <w:t>\</w:t>
      </w:r>
      <w:r>
        <w:rPr/>
        <w:drawing>
          <wp:inline distT="0" distB="0" distL="0" distR="0">
            <wp:extent cx="1781175" cy="6769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40"/>
        </w:rPr>
        <w:t>Заменитель сухих сливок «</w:t>
      </w:r>
      <w:r>
        <w:rPr>
          <w:i/>
          <w:sz w:val="40"/>
          <w:lang w:val="en-US"/>
        </w:rPr>
        <w:t>Green</w:t>
      </w:r>
      <w:r>
        <w:rPr>
          <w:i/>
          <w:sz w:val="40"/>
        </w:rPr>
        <w:t xml:space="preserve"> </w:t>
      </w:r>
      <w:r>
        <w:rPr>
          <w:i/>
          <w:sz w:val="40"/>
          <w:lang w:val="en-US"/>
        </w:rPr>
        <w:t>Style</w:t>
      </w:r>
      <w:r>
        <w:rPr>
          <w:i/>
          <w:sz w:val="40"/>
        </w:rPr>
        <w:t>»</w:t>
      </w:r>
    </w:p>
    <w:p>
      <w:pPr>
        <w:pStyle w:val="Normal"/>
        <w:tabs>
          <w:tab w:val="clear" w:pos="708"/>
          <w:tab w:val="center" w:pos="4550" w:leader="none"/>
        </w:tabs>
        <w:spacing w:lineRule="auto" w:line="259"/>
        <w:ind w:left="0" w:right="0" w:hanging="0"/>
        <w:rPr>
          <w:rFonts w:eastAsia="Monotype Corsiva"/>
          <w:i/>
          <w:i/>
          <w:color w:val="auto"/>
          <w:sz w:val="32"/>
        </w:rPr>
      </w:pPr>
      <w:r>
        <w:rPr>
          <w:rFonts w:eastAsia="Monotype Corsiva"/>
          <w:i/>
          <w:color w:val="006FC0"/>
          <w:sz w:val="32"/>
        </w:rPr>
        <w:t xml:space="preserve">                                      </w:t>
      </w:r>
      <w:r>
        <w:rPr>
          <w:rFonts w:eastAsia="Monotype Corsiva"/>
          <w:i/>
          <w:color w:val="auto"/>
          <w:sz w:val="32"/>
        </w:rPr>
        <w:t xml:space="preserve">Производитель:   «ООО ТД Молочник»      </w:t>
      </w:r>
    </w:p>
    <w:p>
      <w:pPr>
        <w:pStyle w:val="2"/>
        <w:tabs>
          <w:tab w:val="clear" w:pos="708"/>
          <w:tab w:val="center" w:pos="6291" w:leader="none"/>
        </w:tabs>
        <w:ind w:left="-13" w:right="10" w:hanging="0"/>
        <w:rPr/>
      </w:pPr>
      <w:r>
        <w:rPr/>
        <w:t>ОПИСАНИЕ</w:t>
        <w:tab/>
        <w:t>СОСТАВ</w:t>
      </w:r>
    </w:p>
    <w:p>
      <w:pPr>
        <w:pStyle w:val="Normal"/>
        <w:spacing w:lineRule="auto" w:line="259"/>
        <w:ind w:left="-38" w:right="-1652" w:hanging="0"/>
        <w:rPr/>
      </w:pPr>
      <w:r>
        <w:rPr/>
        <mc:AlternateContent>
          <mc:Choice Requires="wpg">
            <w:drawing>
              <wp:inline distT="0" distB="0" distL="0" distR="0">
                <wp:extent cx="7210425" cy="38735"/>
                <wp:effectExtent l="0" t="0" r="0" b="0"/>
                <wp:docPr id="2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9720" cy="38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4621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9" h="35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lnTo>
                                  <a:pt x="961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920"/>
                            <a:ext cx="34621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9" h="35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lnTo>
                                  <a:pt x="961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6840" y="0"/>
                            <a:ext cx="351288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59" h="35">
                                <a:moveTo>
                                  <a:pt x="0" y="0"/>
                                </a:moveTo>
                                <a:lnTo>
                                  <a:pt x="9758" y="0"/>
                                </a:lnTo>
                                <a:lnTo>
                                  <a:pt x="975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6840" y="25920"/>
                            <a:ext cx="351288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59" h="35">
                                <a:moveTo>
                                  <a:pt x="0" y="0"/>
                                </a:moveTo>
                                <a:lnTo>
                                  <a:pt x="9758" y="0"/>
                                </a:lnTo>
                                <a:lnTo>
                                  <a:pt x="975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3.05pt;width:567.7pt;height:3pt" coordorigin="0,-61" coordsize="11354,60"/>
            </w:pict>
          </mc:Fallback>
        </mc:AlternateContent>
      </w:r>
    </w:p>
    <w:p>
      <w:pPr>
        <w:sectPr>
          <w:type w:val="nextPage"/>
          <w:pgSz w:w="11906" w:h="16838"/>
          <w:pgMar w:left="298" w:right="1945" w:header="0" w:top="254" w:footer="0" w:bottom="403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229"/>
        <w:ind w:left="-5" w:right="23" w:hanging="10"/>
        <w:rPr/>
      </w:pPr>
      <w:r>
        <w:rPr/>
        <w:t xml:space="preserve">Сухой мелкодисперсный порошок, получаемый в результате распылительной сушки эмульсии молочной сыворотки, молока коровьего и жиров не молочного происхождения с добавлением белков, эмульгаторов, стабилизаторов </w:t>
      </w:r>
    </w:p>
    <w:p>
      <w:pPr>
        <w:pStyle w:val="2"/>
        <w:ind w:left="-3" w:right="10" w:hanging="10"/>
        <w:rPr/>
      </w:pPr>
      <w:r>
        <w:rPr/>
        <w:t>Области применения</w:t>
      </w:r>
    </w:p>
    <w:p>
      <w:pPr>
        <w:pStyle w:val="Normal"/>
        <w:spacing w:lineRule="auto" w:line="259" w:before="0" w:after="30"/>
        <w:ind w:left="-36" w:right="-8" w:hanging="0"/>
        <w:rPr/>
      </w:pPr>
      <w:r>
        <w:rPr/>
        <mc:AlternateContent>
          <mc:Choice Requires="wpg">
            <w:drawing>
              <wp:inline distT="0" distB="0" distL="0" distR="0">
                <wp:extent cx="3464560" cy="38735"/>
                <wp:effectExtent l="0" t="0" r="0" b="0"/>
                <wp:docPr id="3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3920" cy="38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4639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9" h="35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lnTo>
                                  <a:pt x="961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920"/>
                            <a:ext cx="34639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9" h="35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lnTo>
                                  <a:pt x="961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3.05pt;width:272.75pt;height:3pt" coordorigin="0,-61" coordsize="5455,60"/>
            </w:pict>
          </mc:Fallback>
        </mc:AlternateContent>
      </w:r>
    </w:p>
    <w:p>
      <w:pPr>
        <w:pStyle w:val="Normal"/>
        <w:spacing w:before="0" w:after="452"/>
        <w:ind w:left="-5" w:right="23" w:hanging="10"/>
        <w:rPr/>
      </w:pPr>
      <w:r>
        <w:rPr/>
        <w:t>Заменитель молочного продукта сухой  применяется в мясной, молочной, масложировой, сыродельной и кондитерской промышленностях, мороженого, заменителей сливок, напитков 3 в 1, где традиционно используются сухие сливки.</w:t>
      </w:r>
    </w:p>
    <w:p>
      <w:pPr>
        <w:pStyle w:val="2"/>
        <w:ind w:left="-3" w:right="10" w:hanging="10"/>
        <w:rPr/>
      </w:pPr>
      <w:r>
        <w:rPr/>
        <w:t>Упаковка и хранение</w:t>
      </w:r>
    </w:p>
    <w:p>
      <w:pPr>
        <w:pStyle w:val="Normal"/>
        <w:spacing w:lineRule="auto" w:line="259" w:before="0" w:after="30"/>
        <w:ind w:left="-36" w:right="-8" w:hanging="0"/>
        <w:rPr/>
      </w:pPr>
      <w:r>
        <w:rPr/>
        <mc:AlternateContent>
          <mc:Choice Requires="wpg">
            <w:drawing>
              <wp:inline distT="0" distB="0" distL="0" distR="0">
                <wp:extent cx="3464560" cy="38735"/>
                <wp:effectExtent l="0" t="0" r="0" b="0"/>
                <wp:docPr id="4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3920" cy="38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4639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9" h="35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lnTo>
                                  <a:pt x="961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920"/>
                            <a:ext cx="34639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9" h="35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  <a:lnTo>
                                  <a:pt x="961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3.05pt;width:272.75pt;height:3pt" coordorigin="0,-61" coordsize="5455,60"/>
            </w:pict>
          </mc:Fallback>
        </mc:AlternateContent>
      </w:r>
    </w:p>
    <w:p>
      <w:pPr>
        <w:pStyle w:val="Normal"/>
        <w:spacing w:before="0" w:after="194"/>
        <w:ind w:left="-5" w:right="23" w:hanging="10"/>
        <w:rPr/>
      </w:pPr>
      <w:r>
        <w:rPr/>
        <w:t>многослойные бумажные крафт-мешки с полиэтиленовым вкладышем внутри до 25кг. Рекомендуется хранить в хорошо проветриваемом, защищенном от прямых солнечных лучей помещении до 12 мес., при температуре не выше 20</w:t>
      </w:r>
      <w:r>
        <w:rPr>
          <w:rFonts w:eastAsia="Cambria Math" w:cs="Cambria Math" w:ascii="Cambria Math" w:hAnsi="Cambria Math"/>
        </w:rPr>
        <w:t>⁰</w:t>
      </w:r>
      <w:r>
        <w:rPr/>
        <w:t>С, относительной влажности воздуха не более 85%</w:t>
      </w:r>
    </w:p>
    <w:p>
      <w:pPr>
        <w:pStyle w:val="2"/>
        <w:spacing w:before="0" w:after="26"/>
        <w:ind w:left="-3" w:right="10" w:hanging="10"/>
        <w:rPr/>
      </w:pPr>
      <w:r>
        <w:rPr/>
        <w:t>Преимущества использования</w:t>
      </w:r>
    </w:p>
    <w:p>
      <w:pPr>
        <w:pStyle w:val="Normal"/>
        <w:numPr>
          <w:ilvl w:val="0"/>
          <w:numId w:val="1"/>
        </w:numPr>
        <w:spacing w:before="0" w:after="38"/>
        <w:ind w:left="115" w:right="23" w:hanging="115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-20955</wp:posOffset>
                </wp:positionH>
                <wp:positionV relativeFrom="paragraph">
                  <wp:posOffset>-53340</wp:posOffset>
                </wp:positionV>
                <wp:extent cx="3464560" cy="210185"/>
                <wp:effectExtent l="0" t="0" r="0" b="0"/>
                <wp:wrapNone/>
                <wp:docPr id="5" name="Group 45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3920" cy="209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46392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8" h="35">
                                <a:moveTo>
                                  <a:pt x="0" y="0"/>
                                </a:moveTo>
                                <a:lnTo>
                                  <a:pt x="9617" y="0"/>
                                </a:lnTo>
                                <a:lnTo>
                                  <a:pt x="961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840"/>
                            <a:ext cx="346392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8" h="35">
                                <a:moveTo>
                                  <a:pt x="0" y="0"/>
                                </a:moveTo>
                                <a:lnTo>
                                  <a:pt x="9617" y="0"/>
                                </a:lnTo>
                                <a:lnTo>
                                  <a:pt x="961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8000"/>
                            <a:ext cx="346392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18" h="35">
                                <a:moveTo>
                                  <a:pt x="0" y="0"/>
                                </a:moveTo>
                                <a:lnTo>
                                  <a:pt x="9617" y="0"/>
                                </a:lnTo>
                                <a:lnTo>
                                  <a:pt x="961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527" style="position:absolute;margin-left:-1.65pt;margin-top:-4.2pt;width:272.75pt;height:16.5pt" coordorigin="-33,-84" coordsize="5455,330"/>
            </w:pict>
          </mc:Fallback>
        </mc:AlternateContent>
      </w:r>
      <w:r>
        <w:rPr/>
        <w:t>Простота применения</w:t>
      </w:r>
    </w:p>
    <w:p>
      <w:pPr>
        <w:pStyle w:val="Normal"/>
        <w:numPr>
          <w:ilvl w:val="0"/>
          <w:numId w:val="1"/>
        </w:numPr>
        <w:ind w:left="115" w:right="23" w:hanging="115"/>
        <w:rPr/>
      </w:pPr>
      <w:r>
        <w:rPr/>
        <w:t>Получение продукта со сбалансированным жирнокислотным составом</w:t>
      </w:r>
    </w:p>
    <w:tbl>
      <w:tblPr>
        <w:tblStyle w:val="TableGrid"/>
        <w:tblW w:w="5453" w:type="dxa"/>
        <w:jc w:val="left"/>
        <w:tblInd w:w="-36" w:type="dxa"/>
        <w:tblLayout w:type="fixed"/>
        <w:tblCellMar>
          <w:top w:w="13" w:type="dxa"/>
          <w:left w:w="0" w:type="dxa"/>
          <w:bottom w:w="0" w:type="dxa"/>
          <w:right w:w="115" w:type="dxa"/>
        </w:tblCellMar>
        <w:tblLook w:val="04a0"/>
      </w:tblPr>
      <w:tblGrid>
        <w:gridCol w:w="3852"/>
        <w:gridCol w:w="1600"/>
      </w:tblGrid>
      <w:tr>
        <w:trPr>
          <w:trHeight w:val="305" w:hRule="atLeast"/>
        </w:trPr>
        <w:tc>
          <w:tcPr>
            <w:tcW w:w="3852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Аминокислотный состав (в 100 г белка)</w:t>
            </w:r>
          </w:p>
        </w:tc>
        <w:tc>
          <w:tcPr>
            <w:tcW w:w="1600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Глицин</w:t>
            </w:r>
          </w:p>
        </w:tc>
        <w:tc>
          <w:tcPr>
            <w:tcW w:w="1600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1,8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Лейцин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11,5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Тирозин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3,7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Серин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3,9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Глутаминовая кислота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15,2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Глутамин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Следы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Аспарагиновая кислота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11,0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Аспарагин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Следы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Фенилаланин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3,3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Аланин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4,4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Лизин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9,8</w:t>
            </w:r>
          </w:p>
        </w:tc>
      </w:tr>
      <w:tr>
        <w:trPr>
          <w:trHeight w:val="305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Аргинин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2,2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Гистидин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2,0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Цистеин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2,5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Цистин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3,7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Валин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5,2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Пролин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4,0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Триптофан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2,8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Изолейцин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4,8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Метионин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3,0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Треонин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5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5,2</w:t>
            </w:r>
          </w:p>
        </w:tc>
      </w:tr>
    </w:tbl>
    <w:p>
      <w:pPr>
        <w:pStyle w:val="Normal"/>
        <w:ind w:left="-5" w:right="23" w:hanging="10"/>
        <w:rPr/>
      </w:pPr>
      <w:r>
        <w:rPr/>
        <w:t xml:space="preserve">Смесь жиров (растительные масла и/или животные жиры), молочная сыворотка, ,патока,мальтодекстрин,стабилизаторы, эмульгаторы. </w:t>
      </w:r>
      <w:r>
        <w:rPr>
          <w:lang w:val="en-US"/>
        </w:rPr>
        <w:t>(</w:t>
      </w:r>
      <w:r>
        <w:rPr>
          <w:lang w:val="ru-RU"/>
        </w:rPr>
        <w:t>натрий 452,калий Е3-40,Эм-Е474)</w:t>
      </w:r>
    </w:p>
    <w:p>
      <w:pPr>
        <w:pStyle w:val="Normal"/>
        <w:ind w:left="-5" w:right="23" w:hanging="10"/>
        <w:rPr/>
      </w:pPr>
      <w:r>
        <w:rPr>
          <w:b/>
          <w:sz w:val="22"/>
        </w:rPr>
        <w:t>Физико-химические показатели</w:t>
      </w:r>
    </w:p>
    <w:tbl>
      <w:tblPr>
        <w:tblStyle w:val="TableGrid"/>
        <w:tblW w:w="5460" w:type="dxa"/>
        <w:jc w:val="left"/>
        <w:tblInd w:w="42" w:type="dxa"/>
        <w:tblLayout w:type="fixed"/>
        <w:tblCellMar>
          <w:top w:w="0" w:type="dxa"/>
          <w:left w:w="0" w:type="dxa"/>
          <w:bottom w:w="25" w:type="dxa"/>
          <w:right w:w="50" w:type="dxa"/>
        </w:tblCellMar>
        <w:tblLook w:val="04a0"/>
      </w:tblPr>
      <w:tblGrid>
        <w:gridCol w:w="4223"/>
        <w:gridCol w:w="72"/>
        <w:gridCol w:w="1164"/>
      </w:tblGrid>
      <w:tr>
        <w:trPr>
          <w:trHeight w:val="273" w:hRule="atLeast"/>
        </w:trPr>
        <w:tc>
          <w:tcPr>
            <w:tcW w:w="4295" w:type="dxa"/>
            <w:gridSpan w:val="2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2589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Жир</w:t>
              <w:tab/>
              <w:t>По запросу</w:t>
            </w:r>
          </w:p>
        </w:tc>
        <w:tc>
          <w:tcPr>
            <w:tcW w:w="1164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26-50%</w:t>
            </w:r>
          </w:p>
        </w:tc>
      </w:tr>
      <w:tr>
        <w:trPr>
          <w:trHeight w:val="273" w:hRule="atLeast"/>
        </w:trPr>
        <w:tc>
          <w:tcPr>
            <w:tcW w:w="4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2589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Белок</w:t>
              <w:tab/>
              <w:t>По запросу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от 1%</w:t>
            </w:r>
          </w:p>
        </w:tc>
      </w:tr>
      <w:tr>
        <w:trPr>
          <w:trHeight w:val="259" w:hRule="atLeast"/>
        </w:trPr>
        <w:tc>
          <w:tcPr>
            <w:tcW w:w="4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Углеводы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от 5 до 65%</w:t>
            </w:r>
          </w:p>
        </w:tc>
      </w:tr>
      <w:tr>
        <w:trPr>
          <w:trHeight w:val="259" w:hRule="atLeast"/>
        </w:trPr>
        <w:tc>
          <w:tcPr>
            <w:tcW w:w="4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429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Влага</w:t>
              <w:tab/>
              <w:t>не более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6%</w:t>
            </w:r>
          </w:p>
        </w:tc>
      </w:tr>
      <w:tr>
        <w:trPr>
          <w:trHeight w:val="259" w:hRule="atLeast"/>
        </w:trPr>
        <w:tc>
          <w:tcPr>
            <w:tcW w:w="42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232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Энергетическая ценность</w:t>
              <w:tab/>
              <w:t>до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both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744 ккал/3110 кДж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Активная кислотность, рН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6,8</w:t>
            </w:r>
            <w:r>
              <w:rPr>
                <w:rFonts w:eastAsia="Calibri" w:cs="Calibri" w:ascii="Calibri" w:hAnsi="Calibri"/>
                <w:kern w:val="0"/>
                <w:szCs w:val="22"/>
                <w:lang w:val="ru-RU" w:eastAsia="ru-RU" w:bidi="ar-SA"/>
              </w:rPr>
              <w:t>±</w:t>
            </w:r>
            <w:r>
              <w:rPr>
                <w:kern w:val="0"/>
                <w:szCs w:val="22"/>
                <w:lang w:val="ru-RU" w:eastAsia="ru-RU" w:bidi="ar-SA"/>
              </w:rPr>
              <w:t>0,3</w:t>
            </w:r>
          </w:p>
        </w:tc>
      </w:tr>
      <w:tr>
        <w:trPr>
          <w:trHeight w:val="533" w:hRule="atLeast"/>
        </w:trPr>
        <w:tc>
          <w:tcPr>
            <w:tcW w:w="4223" w:type="dxa"/>
            <w:tcBorders>
              <w:top w:val="single" w:sz="8" w:space="0" w:color="000000"/>
              <w:bottom w:val="doub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Микробиологические показатели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429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КОЕ, г</w:t>
              <w:tab/>
              <w:t>не более</w:t>
            </w:r>
          </w:p>
        </w:tc>
        <w:tc>
          <w:tcPr>
            <w:tcW w:w="1236" w:type="dxa"/>
            <w:gridSpan w:val="2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7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2,5*10</w:t>
            </w:r>
            <w:r>
              <w:rPr>
                <w:kern w:val="0"/>
                <w:szCs w:val="22"/>
                <w:vertAlign w:val="superscript"/>
                <w:lang w:val="ru-RU" w:eastAsia="ru-RU" w:bidi="ar-SA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357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БГКП</w:t>
              <w:tab/>
              <w:t>в 0,3 г.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47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отс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357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S. aureus</w:t>
              <w:tab/>
              <w:t>в 1,0 г.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47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отс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96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Патогенные микроорганизмы</w:t>
              <w:tab/>
              <w:t>в 50 г.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47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отс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429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Дрожжи</w:t>
              <w:tab/>
              <w:t>не более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1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50/г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429" w:leader="none"/>
              </w:tabs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Плесени</w:t>
              <w:tab/>
              <w:t>не более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6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100/г</w:t>
            </w:r>
          </w:p>
        </w:tc>
      </w:tr>
      <w:tr>
        <w:trPr>
          <w:trHeight w:val="533" w:hRule="atLeast"/>
        </w:trPr>
        <w:tc>
          <w:tcPr>
            <w:tcW w:w="4223" w:type="dxa"/>
            <w:tcBorders>
              <w:top w:val="single" w:sz="8" w:space="0" w:color="000000"/>
              <w:bottom w:val="doub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8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Жирнокислотный состав (в 100 г жира)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Лауриновая С:12</w:t>
            </w:r>
          </w:p>
        </w:tc>
        <w:tc>
          <w:tcPr>
            <w:tcW w:w="1236" w:type="dxa"/>
            <w:gridSpan w:val="2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1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до 0,5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Миристиновая С:14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1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0,2-1,0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Пальмитиновая С16:0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10,0-20,0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Стеариновая С18:0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5,0-10,0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Олеиновая С18:1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27,0-25,0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Гондоиновая С 20:1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3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до 0,5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Линолевая С 18:2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20,0-28,0</w:t>
            </w:r>
          </w:p>
        </w:tc>
      </w:tr>
      <w:tr>
        <w:trPr>
          <w:trHeight w:val="259" w:hRule="atLeast"/>
        </w:trPr>
        <w:tc>
          <w:tcPr>
            <w:tcW w:w="42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Линоленовая С18:3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34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до 0,3</w:t>
            </w:r>
          </w:p>
        </w:tc>
      </w:tr>
      <w:tr>
        <w:trPr>
          <w:trHeight w:val="780" w:hRule="atLeast"/>
        </w:trPr>
        <w:tc>
          <w:tcPr>
            <w:tcW w:w="4223" w:type="dxa"/>
            <w:tcBorders>
              <w:top w:val="single" w:sz="8" w:space="0" w:color="000000"/>
              <w:bottom w:val="doub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Дозировки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center" w:pos="4280" w:leader="none"/>
        </w:tabs>
        <w:spacing w:before="0" w:after="31"/>
        <w:ind w:left="-15" w:right="0" w:hanging="0"/>
        <w:rPr/>
      </w:pPr>
      <w:r>
        <w:rPr/>
        <w:t xml:space="preserve">Повышение жирности продукта </w:t>
        <w:tab/>
        <w:t xml:space="preserve">10 кг на 1 т продукта </w:t>
      </w:r>
    </w:p>
    <w:p>
      <w:pPr>
        <w:pStyle w:val="Normal"/>
        <w:tabs>
          <w:tab w:val="clear" w:pos="708"/>
          <w:tab w:val="center" w:pos="4279" w:leader="none"/>
        </w:tabs>
        <w:spacing w:before="0" w:after="106"/>
        <w:ind w:left="-15" w:right="0" w:hanging="0"/>
        <w:rPr/>
      </w:pPr>
      <w:r>
        <w:rPr/>
        <w:t>(на примере ЗСС 50%)</w:t>
        <w:tab/>
        <w:t>повышает жир на 0,5%</w:t>
      </w:r>
    </w:p>
    <w:p>
      <w:pPr>
        <w:pStyle w:val="Normal"/>
        <w:tabs>
          <w:tab w:val="clear" w:pos="708"/>
          <w:tab w:val="center" w:pos="2681" w:leader="none"/>
          <w:tab w:val="center" w:pos="4642" w:leader="none"/>
        </w:tabs>
        <w:spacing w:before="0" w:after="65"/>
        <w:ind w:left="-15" w:right="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-20955</wp:posOffset>
                </wp:positionH>
                <wp:positionV relativeFrom="paragraph">
                  <wp:posOffset>-48895</wp:posOffset>
                </wp:positionV>
                <wp:extent cx="3514725" cy="382270"/>
                <wp:effectExtent l="0" t="0" r="0" b="0"/>
                <wp:wrapNone/>
                <wp:docPr id="6" name="Group 45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960" cy="38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1396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58" h="35">
                                <a:moveTo>
                                  <a:pt x="0" y="0"/>
                                </a:moveTo>
                                <a:lnTo>
                                  <a:pt x="9757" y="0"/>
                                </a:lnTo>
                                <a:lnTo>
                                  <a:pt x="975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4680"/>
                            <a:ext cx="351396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58" h="35">
                                <a:moveTo>
                                  <a:pt x="0" y="0"/>
                                </a:moveTo>
                                <a:lnTo>
                                  <a:pt x="9757" y="0"/>
                                </a:lnTo>
                                <a:lnTo>
                                  <a:pt x="9757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0080"/>
                            <a:ext cx="131184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45" h="35">
                                <a:moveTo>
                                  <a:pt x="0" y="0"/>
                                </a:moveTo>
                                <a:lnTo>
                                  <a:pt x="3644" y="0"/>
                                </a:lnTo>
                                <a:lnTo>
                                  <a:pt x="364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528" style="position:absolute;margin-left:-1.65pt;margin-top:-3.85pt;width:276.7pt;height:30.05pt" coordorigin="-33,-77" coordsize="5534,601"/>
            </w:pict>
          </mc:Fallback>
        </mc:AlternateContent>
      </w:r>
      <w:r>
        <w:rPr/>
        <w:t>Спреды/маргарины</w:t>
        <w:tab/>
        <w:t>Замена сливок</w:t>
        <w:tab/>
        <w:t>до 100%</w:t>
      </w:r>
    </w:p>
    <w:p>
      <w:pPr>
        <w:pStyle w:val="Normal"/>
        <w:ind w:left="-5" w:right="23" w:hanging="10"/>
        <w:rPr/>
      </w:pPr>
      <w:r>
        <w:rPr/>
        <w:t>Сырные продукты</w:t>
      </w:r>
    </w:p>
    <w:p>
      <w:pPr>
        <w:pStyle w:val="Normal"/>
        <w:ind w:left="-5" w:right="23" w:hanging="10"/>
        <w:rPr/>
      </w:pPr>
      <w:r>
        <w:rPr/>
      </w:r>
    </w:p>
    <w:p>
      <w:pPr>
        <w:pStyle w:val="Normal"/>
        <w:spacing w:lineRule="auto" w:line="259"/>
        <w:ind w:left="0" w:right="0" w:hanging="0"/>
        <w:jc w:val="right"/>
        <w:rPr/>
      </w:pPr>
      <w:r>
        <w:rPr/>
        <w:t>до 50% замены по жиру</w:t>
      </w:r>
    </w:p>
    <w:p>
      <w:pPr>
        <w:pStyle w:val="Normal"/>
        <w:ind w:left="-15" w:right="23" w:hanging="0"/>
        <w:rPr/>
      </w:pPr>
      <w:r>
        <w:rPr/>
        <w:t>Мороженое</w:t>
      </w:r>
    </w:p>
    <w:p>
      <w:pPr>
        <w:pStyle w:val="Normal"/>
        <w:ind w:left="-5" w:right="23" w:hanging="10"/>
        <w:rPr/>
      </w:pPr>
      <w:r>
        <w:rPr/>
      </w:r>
    </w:p>
    <w:tbl>
      <w:tblPr>
        <w:tblStyle w:val="TableGrid"/>
        <w:tblW w:w="5532" w:type="dxa"/>
        <w:jc w:val="left"/>
        <w:tblInd w:w="-36" w:type="dxa"/>
        <w:tblLayout w:type="fixed"/>
        <w:tblCellMar>
          <w:top w:w="59" w:type="dxa"/>
          <w:left w:w="0" w:type="dxa"/>
          <w:bottom w:w="0" w:type="dxa"/>
          <w:right w:w="63" w:type="dxa"/>
        </w:tblCellMar>
        <w:tblLook w:val="04a0"/>
      </w:tblPr>
      <w:tblGrid>
        <w:gridCol w:w="2335"/>
        <w:gridCol w:w="1546"/>
        <w:gridCol w:w="1651"/>
      </w:tblGrid>
      <w:tr>
        <w:trPr>
          <w:trHeight w:val="290" w:hRule="atLeast"/>
        </w:trPr>
        <w:tc>
          <w:tcPr>
            <w:tcW w:w="23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Колбасные изделия</w:t>
            </w:r>
          </w:p>
        </w:tc>
        <w:tc>
          <w:tcPr>
            <w:tcW w:w="15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" w:righ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до 10%</w:t>
            </w:r>
          </w:p>
        </w:tc>
      </w:tr>
      <w:tr>
        <w:trPr>
          <w:trHeight w:val="290" w:hRule="atLeast"/>
        </w:trPr>
        <w:tc>
          <w:tcPr>
            <w:tcW w:w="23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Жирные крема</w:t>
            </w:r>
          </w:p>
        </w:tc>
        <w:tc>
          <w:tcPr>
            <w:tcW w:w="15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вместо сливок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both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250-400 г/1 л воды</w:t>
            </w:r>
          </w:p>
        </w:tc>
      </w:tr>
      <w:tr>
        <w:trPr>
          <w:trHeight w:val="290" w:hRule="atLeast"/>
        </w:trPr>
        <w:tc>
          <w:tcPr>
            <w:tcW w:w="23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Сметанные продукты</w:t>
            </w:r>
          </w:p>
        </w:tc>
        <w:tc>
          <w:tcPr>
            <w:tcW w:w="15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вместо сливок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both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200-280 г/1 л воды</w:t>
            </w:r>
          </w:p>
        </w:tc>
      </w:tr>
      <w:tr>
        <w:trPr>
          <w:trHeight w:val="347" w:hRule="atLeast"/>
        </w:trPr>
        <w:tc>
          <w:tcPr>
            <w:tcW w:w="23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Выпечка</w:t>
            </w:r>
          </w:p>
        </w:tc>
        <w:tc>
          <w:tcPr>
            <w:tcW w:w="15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вместо сливок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85" w:righ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250 г/1 л воды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98" w:right="1945" w:header="0" w:top="254" w:footer="0" w:bottom="403" w:gutter="0"/>
          <w:cols w:num="2" w:space="410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298" w:right="1945" w:header="0" w:top="254" w:footer="0" w:bottom="403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onotype Corsiv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 Math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15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fed"/>
    <w:pPr>
      <w:widowControl/>
      <w:suppressAutoHyphens w:val="true"/>
      <w:bidi w:val="0"/>
      <w:spacing w:lineRule="auto" w:line="259" w:before="0" w:after="0"/>
      <w:ind w:left="10" w:right="10" w:hanging="1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rsid w:val="000e2fed"/>
    <w:pPr>
      <w:keepNext w:val="true"/>
      <w:keepLines/>
      <w:widowControl/>
      <w:suppressAutoHyphens w:val="true"/>
      <w:bidi w:val="0"/>
      <w:spacing w:lineRule="auto" w:line="259" w:before="0" w:after="0"/>
      <w:jc w:val="right"/>
      <w:outlineLvl w:val="0"/>
    </w:pPr>
    <w:rPr>
      <w:rFonts w:ascii="Monotype Corsiva" w:hAnsi="Monotype Corsiva" w:eastAsia="Monotype Corsiva" w:cs="Monotype Corsiva"/>
      <w:color w:val="006FC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rsid w:val="000e2fed"/>
    <w:pPr>
      <w:keepNext w:val="true"/>
      <w:keepLines/>
      <w:widowControl/>
      <w:suppressAutoHyphens w:val="true"/>
      <w:bidi w:val="0"/>
      <w:spacing w:lineRule="auto" w:line="259" w:before="0" w:after="0"/>
      <w:ind w:left="10" w:hanging="10"/>
      <w:jc w:val="left"/>
      <w:outlineLvl w:val="1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qFormat/>
    <w:rsid w:val="000e2fed"/>
    <w:rPr>
      <w:rFonts w:ascii="Times New Roman" w:hAnsi="Times New Roman" w:eastAsia="Times New Roman" w:cs="Times New Roman"/>
      <w:b/>
      <w:color w:val="000000"/>
      <w:sz w:val="22"/>
    </w:rPr>
  </w:style>
  <w:style w:type="character" w:styleId="11" w:customStyle="1">
    <w:name w:val="Заголовок 1 Знак"/>
    <w:link w:val="1"/>
    <w:qFormat/>
    <w:rsid w:val="000e2fed"/>
    <w:rPr>
      <w:rFonts w:ascii="Monotype Corsiva" w:hAnsi="Monotype Corsiva" w:eastAsia="Monotype Corsiva" w:cs="Monotype Corsiva"/>
      <w:color w:val="006FC0"/>
      <w:sz w:val="32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b425db"/>
    <w:rPr>
      <w:rFonts w:ascii="Tahoma" w:hAnsi="Tahoma" w:eastAsia="Times New Roman" w:cs="Tahoma"/>
      <w:color w:val="000000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425db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e2f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LibreOffice/7.0.4.2$Windows_X86_64 LibreOffice_project/dcf040e67528d9187c66b2379df5ea4407429775</Application>
  <AppVersion>15.0000</AppVersion>
  <Pages>2</Pages>
  <Words>331</Words>
  <Characters>2043</Characters>
  <CharactersWithSpaces>2305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2019-09-23T13:53:00Z</dcterms:created>
  <dc:creator>Асафов Антон Владимирович</dc:creator>
  <dc:description/>
  <dc:language>ru-RU</dc:language>
  <cp:lastModifiedBy/>
  <dcterms:modified xsi:type="dcterms:W3CDTF">2022-04-01T09:43:40Z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